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184" w:rsidRDefault="00FA0184" w:rsidP="00FA0184">
      <w:pPr>
        <w:pStyle w:val="1"/>
        <w:rPr>
          <w:rFonts w:eastAsia="Calibri" w:cs="Calibri"/>
        </w:rPr>
      </w:pPr>
      <w:bookmarkStart w:id="0" w:name="_Toc183180611"/>
      <w:r>
        <w:rPr>
          <w:rFonts w:eastAsia="Calibri" w:cs="Calibri"/>
        </w:rPr>
        <w:t>ΠΑΡΑΡΤΗΜΑ  V: ΟΡΙΣΜΟΙ</w:t>
      </w:r>
      <w:bookmarkEnd w:id="0"/>
    </w:p>
    <w:p w:rsidR="00FA0184" w:rsidRDefault="00FA0184" w:rsidP="00FA0184">
      <w:pPr>
        <w:pStyle w:val="LO-normal"/>
        <w:tabs>
          <w:tab w:val="left" w:pos="425"/>
          <w:tab w:val="left" w:pos="720"/>
        </w:tabs>
        <w:spacing w:after="120" w:line="240" w:lineRule="auto"/>
        <w:ind w:right="-58"/>
        <w:jc w:val="left"/>
        <w:rPr>
          <w:rFonts w:eastAsia="Calibri" w:cs="Calibri"/>
          <w:sz w:val="22"/>
          <w:szCs w:val="22"/>
        </w:rPr>
      </w:pPr>
      <w:r>
        <w:rPr>
          <w:rFonts w:eastAsia="Calibri" w:cs="Calibri"/>
          <w:b/>
          <w:sz w:val="22"/>
          <w:szCs w:val="22"/>
        </w:rPr>
        <w:t xml:space="preserve">Α. </w:t>
      </w:r>
      <w:bookmarkStart w:id="1" w:name="_GoBack"/>
      <w:r>
        <w:rPr>
          <w:rFonts w:eastAsia="Calibri" w:cs="Calibri"/>
          <w:b/>
          <w:sz w:val="22"/>
          <w:szCs w:val="22"/>
        </w:rPr>
        <w:t xml:space="preserve">Ορισμός Προβληματικής επιχείρησης </w:t>
      </w:r>
      <w:bookmarkEnd w:id="1"/>
      <w:r>
        <w:rPr>
          <w:rFonts w:eastAsia="Calibri" w:cs="Calibri"/>
          <w:b/>
          <w:sz w:val="22"/>
          <w:szCs w:val="22"/>
        </w:rPr>
        <w:t>σύμφωνα με το  στοιχείο 18 του άρθρου 2 του ΓΑΚ (ΕΕ) 651/2014, όπως έχει τροποποιηθεί με την παρ. 2 του άρθρου 1 του Κανονισμού (ΕΕ) 2023/1315 της 23</w:t>
      </w:r>
      <w:r>
        <w:rPr>
          <w:rFonts w:eastAsia="Calibri" w:cs="Calibri"/>
          <w:b/>
          <w:sz w:val="22"/>
          <w:szCs w:val="22"/>
          <w:vertAlign w:val="superscript"/>
        </w:rPr>
        <w:t>ης</w:t>
      </w:r>
      <w:r>
        <w:rPr>
          <w:rFonts w:eastAsia="Calibri" w:cs="Calibri"/>
          <w:b/>
          <w:sz w:val="22"/>
          <w:szCs w:val="22"/>
        </w:rPr>
        <w:t xml:space="preserve"> Ιουνίου 2023 (L 167/8 30.06.2023)</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Προβληματική επιχείρηση είναι η επιχείρηση για την οποία συντρέχει τουλάχιστον μία από τις ακόλουθες προϋποθέσεις: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 xml:space="preserve">α) εάν πρόκειται για εταιρεία περιορισμένης ευθύνης (πλην ΜΜΕ που δεν έχει συμπληρώσει τριετία από τη σύστασή της ή, όσον αφορά την </w:t>
      </w:r>
      <w:proofErr w:type="spellStart"/>
      <w:r>
        <w:rPr>
          <w:rFonts w:eastAsia="Calibri" w:cs="Calibri"/>
          <w:sz w:val="22"/>
          <w:szCs w:val="22"/>
        </w:rPr>
        <w:t>επιλεξιμότητα</w:t>
      </w:r>
      <w:proofErr w:type="spellEnd"/>
      <w:r>
        <w:rPr>
          <w:rFonts w:eastAsia="Calibri" w:cs="Calibri"/>
          <w:sz w:val="22"/>
          <w:szCs w:val="22"/>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w:t>
      </w:r>
      <w:proofErr w:type="spellStart"/>
      <w:r>
        <w:rPr>
          <w:rFonts w:eastAsia="Calibri" w:cs="Calibri"/>
          <w:sz w:val="22"/>
          <w:szCs w:val="22"/>
        </w:rPr>
        <w:t>απολεσθεί</w:t>
      </w:r>
      <w:proofErr w:type="spellEnd"/>
      <w:r>
        <w:rPr>
          <w:rFonts w:eastAsia="Calibri" w:cs="Calibri"/>
          <w:sz w:val="22"/>
          <w:szCs w:val="22"/>
        </w:rPr>
        <w:t xml:space="preserve"> πάνω από το ήμισυ του εγγεγραμμένου εταιρικού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μέρος των ιδίων κεφαλαίων της εταιρείας) προκύπτει αρνητικό σωρευτικό ποσό που υπερβαίνει το ήμισυ του εγγεγραμμένου εταιρικού κεφαλαίου. Για την εφαρμογή της παρούσας διάταξης, ο όρος «εταιρεία περιορισμένης ευθύνης» παραπέμπει ιδίως στα είδη εταιρειών που αναφέρονται στο παράρτημα I της οδηγίας 2013/34/ΕΕ του Ευρωπαϊκού Κοινοβουλίου και του Συμβουλίου (*) και ο όρος «κεφάλαιο» περιλαμβάνει, ενδεχομένως, κάθε διαφορά από έκδοση εταιρικών μεριδίων υπέρ το άρτιο.</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 xml:space="preserve">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Pr>
          <w:rFonts w:eastAsia="Calibri" w:cs="Calibri"/>
          <w:sz w:val="22"/>
          <w:szCs w:val="22"/>
        </w:rPr>
        <w:t>επιλεξιμότητα</w:t>
      </w:r>
      <w:proofErr w:type="spellEnd"/>
      <w:r>
        <w:rPr>
          <w:rFonts w:eastAsia="Calibri" w:cs="Calibri"/>
          <w:sz w:val="22"/>
          <w:szCs w:val="22"/>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Pr>
          <w:rFonts w:eastAsia="Calibri" w:cs="Calibri"/>
          <w:sz w:val="22"/>
          <w:szCs w:val="22"/>
        </w:rPr>
        <w:t>απολεσθεί</w:t>
      </w:r>
      <w:proofErr w:type="spellEnd"/>
      <w:r>
        <w:rPr>
          <w:rFonts w:eastAsia="Calibri" w:cs="Calibri"/>
          <w:sz w:val="22"/>
          <w:szCs w:val="22"/>
        </w:rPr>
        <w:t xml:space="preserve"> πάνω από το ήμισυ του κεφαλαίου της, όπως </w:t>
      </w:r>
      <w:proofErr w:type="spellStart"/>
      <w:r>
        <w:rPr>
          <w:rFonts w:eastAsia="Calibri" w:cs="Calibri"/>
          <w:sz w:val="22"/>
          <w:szCs w:val="22"/>
        </w:rPr>
        <w:t>εμφαίνεται</w:t>
      </w:r>
      <w:proofErr w:type="spellEnd"/>
      <w:r>
        <w:rPr>
          <w:rFonts w:eastAsia="Calibri" w:cs="Calibri"/>
          <w:sz w:val="22"/>
          <w:szCs w:val="22"/>
        </w:rPr>
        <w:t xml:space="preserve"> στους λογαριασμούς της εταιρείας, λόγω συσσωρευμένων ζημιών. Για τους σκοπούς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ε) εάν πρόκειται για άλλη επιχείρηση εκτός ΜΜΕ, εφόσον τα τελευταία δύο έτη:</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1) ο δείκτης χρέους προς ίδια κεφάλαια της επιχείρησης είναι υψηλότερος του 7,5 και</w:t>
      </w:r>
    </w:p>
    <w:p w:rsidR="00FA0184" w:rsidRDefault="00FA0184" w:rsidP="00FA0184">
      <w:pPr>
        <w:pStyle w:val="LO-normal"/>
        <w:spacing w:line="276" w:lineRule="auto"/>
        <w:ind w:right="-58"/>
        <w:rPr>
          <w:rFonts w:eastAsia="Calibri" w:cs="Calibri"/>
          <w:sz w:val="22"/>
          <w:szCs w:val="22"/>
        </w:rPr>
      </w:pPr>
      <w:r>
        <w:rPr>
          <w:rFonts w:eastAsia="Calibri" w:cs="Calibri"/>
          <w:sz w:val="22"/>
          <w:szCs w:val="22"/>
        </w:rPr>
        <w:t xml:space="preserve">2) ο δείκτης κάλυψης χρηματοοικονομικών υποχρεώσεων της επιχείρησης (EBITDA </w:t>
      </w:r>
      <w:proofErr w:type="spellStart"/>
      <w:r>
        <w:rPr>
          <w:rFonts w:eastAsia="Calibri" w:cs="Calibri"/>
          <w:sz w:val="22"/>
          <w:szCs w:val="22"/>
        </w:rPr>
        <w:t>interest</w:t>
      </w:r>
      <w:proofErr w:type="spellEnd"/>
      <w:r>
        <w:rPr>
          <w:rFonts w:eastAsia="Calibri" w:cs="Calibri"/>
          <w:sz w:val="22"/>
          <w:szCs w:val="22"/>
        </w:rPr>
        <w:t xml:space="preserve"> </w:t>
      </w:r>
      <w:proofErr w:type="spellStart"/>
      <w:r>
        <w:rPr>
          <w:rFonts w:eastAsia="Calibri" w:cs="Calibri"/>
          <w:sz w:val="22"/>
          <w:szCs w:val="22"/>
        </w:rPr>
        <w:t>coverage</w:t>
      </w:r>
      <w:proofErr w:type="spellEnd"/>
      <w:r>
        <w:rPr>
          <w:rFonts w:eastAsia="Calibri" w:cs="Calibri"/>
          <w:sz w:val="22"/>
          <w:szCs w:val="22"/>
        </w:rPr>
        <w:t xml:space="preserve"> </w:t>
      </w:r>
      <w:proofErr w:type="spellStart"/>
      <w:r>
        <w:rPr>
          <w:rFonts w:eastAsia="Calibri" w:cs="Calibri"/>
          <w:sz w:val="22"/>
          <w:szCs w:val="22"/>
        </w:rPr>
        <w:t>ratio</w:t>
      </w:r>
      <w:proofErr w:type="spellEnd"/>
      <w:r>
        <w:rPr>
          <w:rFonts w:eastAsia="Calibri" w:cs="Calibri"/>
          <w:sz w:val="22"/>
          <w:szCs w:val="22"/>
        </w:rPr>
        <w:t>) είναι κάτω του 1,0.</w:t>
      </w:r>
    </w:p>
    <w:p w:rsidR="00FA0184" w:rsidRDefault="00FA0184" w:rsidP="00FA0184">
      <w:pPr>
        <w:pStyle w:val="LO-normal"/>
        <w:tabs>
          <w:tab w:val="left" w:pos="425"/>
          <w:tab w:val="left" w:pos="720"/>
        </w:tabs>
        <w:spacing w:after="120" w:line="240" w:lineRule="auto"/>
        <w:ind w:right="-58"/>
        <w:jc w:val="left"/>
        <w:rPr>
          <w:rFonts w:eastAsia="Calibri" w:cs="Calibri"/>
          <w:b/>
          <w:sz w:val="22"/>
          <w:szCs w:val="22"/>
        </w:rPr>
      </w:pPr>
    </w:p>
    <w:p w:rsidR="00FA0184" w:rsidRDefault="00FA0184" w:rsidP="00FA0184">
      <w:pPr>
        <w:pStyle w:val="LO-normal"/>
        <w:tabs>
          <w:tab w:val="left" w:pos="425"/>
          <w:tab w:val="left" w:pos="720"/>
        </w:tabs>
        <w:spacing w:after="120" w:line="240" w:lineRule="auto"/>
        <w:ind w:right="-58"/>
        <w:rPr>
          <w:rFonts w:eastAsia="Calibri" w:cs="Calibri"/>
          <w:b/>
          <w:sz w:val="22"/>
          <w:szCs w:val="22"/>
        </w:rPr>
      </w:pPr>
      <w:r>
        <w:rPr>
          <w:rFonts w:eastAsia="Calibri" w:cs="Calibri"/>
          <w:b/>
          <w:sz w:val="22"/>
          <w:szCs w:val="22"/>
        </w:rPr>
        <w:t>Β. Ορισμός Συνδεδεμένων επιχειρήσεων  σύμφωνα με την παρ. 3 του άρθρου 3 του Παραρτήματος Ι του ΓΑΚ 651/2014,  όπως ισχύει</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«Συνδεδεμένες επιχειρήσεις» είναι οι επιχειρήσεις που διατηρούν μεταξύ τους μία από τις ακόλουθες σχέσεις: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α) μια επιχείρηση κατέχει την πλειοψηφία των δικαιωμάτων ψήφου των μετόχων ή των εταίρων άλλης επιχείρησης·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lastRenderedPageBreak/>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γ) μια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Τεκμαίρεται ότι δεν υπάρχει κυριαρχική επιρροή, εφόσον οι 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w:t>
      </w:r>
    </w:p>
    <w:p w:rsidR="00FA0184" w:rsidRDefault="00FA0184" w:rsidP="00FA0184">
      <w:pPr>
        <w:pStyle w:val="LO-normal"/>
        <w:tabs>
          <w:tab w:val="left" w:pos="426"/>
        </w:tabs>
        <w:spacing w:after="0" w:line="240" w:lineRule="auto"/>
        <w:ind w:right="-58"/>
        <w:rPr>
          <w:rFonts w:eastAsia="Calibri" w:cs="Calibri"/>
          <w:sz w:val="22"/>
          <w:szCs w:val="22"/>
        </w:rPr>
      </w:pPr>
      <w:r>
        <w:rPr>
          <w:rFonts w:eastAsia="Calibri" w:cs="Calibri"/>
          <w:sz w:val="22"/>
          <w:szCs w:val="22"/>
        </w:rPr>
        <w:t xml:space="preserve">Ως «όμορη αγορά» νοείται η αγορά προϊόντος ή υπηρεσίας που βρίσκεται αμέσως </w:t>
      </w:r>
      <w:proofErr w:type="spellStart"/>
      <w:r>
        <w:rPr>
          <w:rFonts w:eastAsia="Calibri" w:cs="Calibri"/>
          <w:sz w:val="22"/>
          <w:szCs w:val="22"/>
        </w:rPr>
        <w:t>ανάντη</w:t>
      </w:r>
      <w:proofErr w:type="spellEnd"/>
      <w:r>
        <w:rPr>
          <w:rFonts w:eastAsia="Calibri" w:cs="Calibri"/>
          <w:sz w:val="22"/>
          <w:szCs w:val="22"/>
        </w:rPr>
        <w:t xml:space="preserve"> ή </w:t>
      </w:r>
      <w:proofErr w:type="spellStart"/>
      <w:r>
        <w:rPr>
          <w:rFonts w:eastAsia="Calibri" w:cs="Calibri"/>
          <w:sz w:val="22"/>
          <w:szCs w:val="22"/>
        </w:rPr>
        <w:t>κατάντη</w:t>
      </w:r>
      <w:proofErr w:type="spellEnd"/>
      <w:r>
        <w:rPr>
          <w:rFonts w:eastAsia="Calibri" w:cs="Calibri"/>
          <w:sz w:val="22"/>
          <w:szCs w:val="22"/>
        </w:rPr>
        <w:t xml:space="preserve"> της σχετικής αγοράς.</w:t>
      </w:r>
    </w:p>
    <w:p w:rsidR="00C247DA" w:rsidRDefault="00C247DA" w:rsidP="00FA0184"/>
    <w:sectPr w:rsidR="00C247D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9BA" w:rsidRDefault="00B179BA" w:rsidP="00FA0184">
      <w:pPr>
        <w:spacing w:after="0" w:line="240" w:lineRule="auto"/>
      </w:pPr>
      <w:r>
        <w:separator/>
      </w:r>
    </w:p>
  </w:endnote>
  <w:endnote w:type="continuationSeparator" w:id="0">
    <w:p w:rsidR="00B179BA" w:rsidRDefault="00B179BA" w:rsidP="00FA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SimSun"/>
    <w:panose1 w:val="00000000000000000000"/>
    <w:charset w:val="00"/>
    <w:family w:val="roman"/>
    <w:notTrueType/>
    <w:pitch w:val="default"/>
  </w:font>
  <w:font w:name="Lohit Devanagar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184" w:rsidRDefault="00FA0184">
    <w:pPr>
      <w:pStyle w:val="a4"/>
    </w:pPr>
    <w:r>
      <w:rPr>
        <w:noProof/>
      </w:rPr>
      <w:drawing>
        <wp:inline distT="0" distB="0" distL="0" distR="0" wp14:anchorId="2CA1D6B5" wp14:editId="57B6B545">
          <wp:extent cx="5274310" cy="627894"/>
          <wp:effectExtent l="0" t="0" r="2540" b="127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1"/>
                  <a:stretch>
                    <a:fillRect/>
                  </a:stretch>
                </pic:blipFill>
                <pic:spPr bwMode="auto">
                  <a:xfrm>
                    <a:off x="0" y="0"/>
                    <a:ext cx="5274310" cy="6278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9BA" w:rsidRDefault="00B179BA" w:rsidP="00FA0184">
      <w:pPr>
        <w:spacing w:after="0" w:line="240" w:lineRule="auto"/>
      </w:pPr>
      <w:r>
        <w:separator/>
      </w:r>
    </w:p>
  </w:footnote>
  <w:footnote w:type="continuationSeparator" w:id="0">
    <w:p w:rsidR="00B179BA" w:rsidRDefault="00B179BA" w:rsidP="00FA0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84"/>
    <w:rsid w:val="00B179BA"/>
    <w:rsid w:val="00C247DA"/>
    <w:rsid w:val="00FA01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F26F"/>
  <w15:chartTrackingRefBased/>
  <w15:docId w15:val="{8E26906E-075C-4D9B-BE96-18029417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0184"/>
    <w:pPr>
      <w:suppressAutoHyphens/>
      <w:jc w:val="both"/>
    </w:pPr>
    <w:rPr>
      <w:rFonts w:ascii="Calibri" w:eastAsia="Noto Serif CJK SC" w:hAnsi="Calibri" w:cs="Lohit Devanagari"/>
      <w:sz w:val="24"/>
      <w:szCs w:val="24"/>
      <w:lang w:eastAsia="zh-CN" w:bidi="hi-IN"/>
    </w:rPr>
  </w:style>
  <w:style w:type="paragraph" w:styleId="1">
    <w:name w:val="heading 1"/>
    <w:next w:val="LO-normal"/>
    <w:link w:val="1Char"/>
    <w:uiPriority w:val="9"/>
    <w:qFormat/>
    <w:rsid w:val="00FA0184"/>
    <w:pPr>
      <w:keepNext/>
      <w:spacing w:after="0" w:line="240" w:lineRule="auto"/>
      <w:outlineLvl w:val="0"/>
    </w:pPr>
    <w:rPr>
      <w:rFonts w:ascii="Calibri" w:eastAsia="Noto Serif CJK SC" w:hAnsi="Calibri" w:cs="Lohit Devanagari"/>
      <w:b/>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A0184"/>
    <w:rPr>
      <w:rFonts w:ascii="Calibri" w:eastAsia="Noto Serif CJK SC" w:hAnsi="Calibri" w:cs="Lohit Devanagari"/>
      <w:b/>
      <w:sz w:val="24"/>
      <w:szCs w:val="20"/>
      <w:lang w:eastAsia="zh-CN" w:bidi="hi-IN"/>
    </w:rPr>
  </w:style>
  <w:style w:type="paragraph" w:customStyle="1" w:styleId="LO-normal">
    <w:name w:val="LO-normal"/>
    <w:qFormat/>
    <w:rsid w:val="00FA0184"/>
    <w:pPr>
      <w:jc w:val="both"/>
    </w:pPr>
    <w:rPr>
      <w:rFonts w:ascii="Calibri" w:eastAsia="Noto Serif CJK SC" w:hAnsi="Calibri" w:cs="Lohit Devanagari"/>
      <w:sz w:val="24"/>
      <w:szCs w:val="24"/>
      <w:lang w:eastAsia="zh-CN" w:bidi="hi-IN"/>
    </w:rPr>
  </w:style>
  <w:style w:type="paragraph" w:styleId="a3">
    <w:name w:val="header"/>
    <w:basedOn w:val="a"/>
    <w:link w:val="Char"/>
    <w:uiPriority w:val="99"/>
    <w:unhideWhenUsed/>
    <w:rsid w:val="00FA0184"/>
    <w:pPr>
      <w:tabs>
        <w:tab w:val="center" w:pos="4153"/>
        <w:tab w:val="right" w:pos="8306"/>
      </w:tabs>
      <w:spacing w:after="0" w:line="240" w:lineRule="auto"/>
    </w:pPr>
    <w:rPr>
      <w:rFonts w:cs="Mangal"/>
      <w:szCs w:val="21"/>
    </w:rPr>
  </w:style>
  <w:style w:type="character" w:customStyle="1" w:styleId="Char">
    <w:name w:val="Κεφαλίδα Char"/>
    <w:basedOn w:val="a0"/>
    <w:link w:val="a3"/>
    <w:uiPriority w:val="99"/>
    <w:rsid w:val="00FA0184"/>
    <w:rPr>
      <w:rFonts w:ascii="Calibri" w:eastAsia="Noto Serif CJK SC" w:hAnsi="Calibri" w:cs="Mangal"/>
      <w:sz w:val="24"/>
      <w:szCs w:val="21"/>
      <w:lang w:eastAsia="zh-CN" w:bidi="hi-IN"/>
    </w:rPr>
  </w:style>
  <w:style w:type="paragraph" w:styleId="a4">
    <w:name w:val="footer"/>
    <w:basedOn w:val="a"/>
    <w:link w:val="Char0"/>
    <w:uiPriority w:val="99"/>
    <w:unhideWhenUsed/>
    <w:rsid w:val="00FA0184"/>
    <w:pPr>
      <w:tabs>
        <w:tab w:val="center" w:pos="4153"/>
        <w:tab w:val="right" w:pos="8306"/>
      </w:tabs>
      <w:spacing w:after="0" w:line="240" w:lineRule="auto"/>
    </w:pPr>
    <w:rPr>
      <w:rFonts w:cs="Mangal"/>
      <w:szCs w:val="21"/>
    </w:rPr>
  </w:style>
  <w:style w:type="character" w:customStyle="1" w:styleId="Char0">
    <w:name w:val="Υποσέλιδο Char"/>
    <w:basedOn w:val="a0"/>
    <w:link w:val="a4"/>
    <w:uiPriority w:val="99"/>
    <w:rsid w:val="00FA0184"/>
    <w:rPr>
      <w:rFonts w:ascii="Calibri" w:eastAsia="Noto Serif CJK SC" w:hAnsi="Calibri"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4164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GalaktidoyA</dc:creator>
  <cp:keywords/>
  <dc:description/>
  <cp:lastModifiedBy>GalaktidoyA</cp:lastModifiedBy>
  <cp:revision>1</cp:revision>
  <dcterms:created xsi:type="dcterms:W3CDTF">2024-12-03T06:34:00Z</dcterms:created>
  <dcterms:modified xsi:type="dcterms:W3CDTF">2024-12-03T06:35:00Z</dcterms:modified>
</cp:coreProperties>
</file>