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pPr w:leftFromText="180" w:rightFromText="180" w:horzAnchor="page" w:tblpX="1171" w:tblpY="-495"/>
        <w:tblW w:w="10740" w:type="dxa"/>
        <w:tblLook w:val="04A0" w:firstRow="1" w:lastRow="0" w:firstColumn="1" w:lastColumn="0" w:noHBand="0" w:noVBand="1"/>
      </w:tblPr>
      <w:tblGrid>
        <w:gridCol w:w="2547"/>
        <w:gridCol w:w="3522"/>
        <w:gridCol w:w="4671"/>
      </w:tblGrid>
      <w:tr w:rsidR="004953FA">
        <w:trPr>
          <w:trHeight w:val="1020"/>
        </w:trPr>
        <w:tc>
          <w:tcPr>
            <w:tcW w:w="2547" w:type="dxa"/>
            <w:tcBorders>
              <w:top w:val="nil"/>
              <w:left w:val="nil"/>
              <w:bottom w:val="nil"/>
              <w:right w:val="nil"/>
            </w:tcBorders>
            <w:shd w:val="clear" w:color="auto" w:fill="auto"/>
          </w:tcPr>
          <w:p w:rsidR="004953FA" w:rsidRDefault="00311245">
            <w:pPr>
              <w:jc w:val="center"/>
              <w:rPr>
                <w:sz w:val="12"/>
                <w:szCs w:val="12"/>
                <w:lang w:val="en-US"/>
              </w:rPr>
            </w:pPr>
            <w:bookmarkStart w:id="0" w:name="_GoBack"/>
            <w:bookmarkEnd w:id="0"/>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a:stretch>
                            <a:fillRect/>
                          </a:stretch>
                        </pic:blipFill>
                        <pic:spPr bwMode="auto">
                          <a:xfrm>
                            <a:off x="0" y="0"/>
                            <a:ext cx="1464945" cy="1174115"/>
                          </a:xfrm>
                          <a:prstGeom prst="rect">
                            <a:avLst/>
                          </a:prstGeom>
                        </pic:spPr>
                      </pic:pic>
                    </a:graphicData>
                  </a:graphic>
                </wp:inline>
              </w:drawing>
            </w:r>
          </w:p>
          <w:p w:rsidR="004953FA" w:rsidRDefault="004953FA">
            <w:pPr>
              <w:jc w:val="center"/>
              <w:rPr>
                <w:sz w:val="12"/>
                <w:szCs w:val="12"/>
                <w:lang w:val="en-US"/>
              </w:rPr>
            </w:pPr>
          </w:p>
        </w:tc>
        <w:tc>
          <w:tcPr>
            <w:tcW w:w="3522" w:type="dxa"/>
            <w:tcBorders>
              <w:top w:val="nil"/>
              <w:left w:val="nil"/>
              <w:bottom w:val="nil"/>
              <w:right w:val="nil"/>
            </w:tcBorders>
            <w:shd w:val="clear" w:color="auto" w:fill="auto"/>
          </w:tcPr>
          <w:p w:rsidR="004953FA" w:rsidRDefault="004953FA">
            <w:pPr>
              <w:rPr>
                <w:sz w:val="12"/>
                <w:szCs w:val="12"/>
              </w:rPr>
            </w:pPr>
          </w:p>
        </w:tc>
        <w:tc>
          <w:tcPr>
            <w:tcW w:w="4671" w:type="dxa"/>
            <w:tcBorders>
              <w:top w:val="nil"/>
              <w:left w:val="nil"/>
              <w:bottom w:val="nil"/>
              <w:right w:val="nil"/>
            </w:tcBorders>
            <w:shd w:val="clear" w:color="auto" w:fill="auto"/>
          </w:tcPr>
          <w:p w:rsidR="004953FA" w:rsidRDefault="00311245">
            <w:r>
              <w:rPr>
                <w:noProof/>
              </w:rPr>
              <mc:AlternateContent>
                <mc:Choice Requires="wps">
                  <w:drawing>
                    <wp:anchor distT="0" distB="0" distL="0" distR="0" simplePos="0" relativeHeight="3" behindDoc="1" locked="0" layoutInCell="1" allowOverlap="1" wp14:anchorId="026F30E9">
                      <wp:simplePos x="0" y="0"/>
                      <wp:positionH relativeFrom="page">
                        <wp:posOffset>1442720</wp:posOffset>
                      </wp:positionH>
                      <wp:positionV relativeFrom="paragraph">
                        <wp:posOffset>159385</wp:posOffset>
                      </wp:positionV>
                      <wp:extent cx="1641475" cy="317500"/>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40880" cy="31680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rsidR="004953FA" w:rsidRDefault="00311245">
                                  <w:pPr>
                                    <w:pStyle w:val="af6"/>
                                  </w:pPr>
                                  <w:r>
                                    <w:rPr>
                                      <w:rFonts w:ascii="Arial" w:hAnsi="Arial" w:cs="Arial"/>
                                      <w:color w:val="FFFFFF" w:themeColor="background1"/>
                                      <w:sz w:val="28"/>
                                      <w:szCs w:val="28"/>
                                    </w:rPr>
                                    <w:t>Δελτίο Τύπου</w:t>
                                  </w:r>
                                </w:p>
                              </w:txbxContent>
                            </wps:txbx>
                            <wps:bodyPr>
                              <a:noAutofit/>
                            </wps:bodyPr>
                          </wps:wsp>
                        </a:graphicData>
                      </a:graphic>
                    </wp:anchor>
                  </w:drawing>
                </mc:Choice>
                <mc:Fallback>
                  <w:pict>
                    <v:rect w14:anchorId="026F30E9" id="Πλαίσιο κειμένου 2" o:spid="_x0000_s1026" style="position:absolute;margin-left:113.6pt;margin-top:12.55pt;width:129.25pt;height:2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" fillcolor="#006896" strokecolor="white [3212]" strokeweight=".26mm">
                      <v:textbox>
                        <w:txbxContent>
                          <w:p w:rsidR="004953FA" w:rsidRDefault="00311245">
                            <w:pPr>
                              <w:pStyle w:val="af6"/>
                            </w:pPr>
                            <w:r>
                              <w:rPr>
                                <w:rFonts w:ascii="Arial" w:hAnsi="Arial" w:cs="Arial"/>
                                <w:color w:val="FFFFFF" w:themeColor="background1"/>
                                <w:sz w:val="28"/>
                                <w:szCs w:val="28"/>
                              </w:rPr>
                              <w:t>Δελτίο Τύπου</w:t>
                            </w:r>
                          </w:p>
                        </w:txbxContent>
                      </v:textbox>
                      <w10:wrap anchorx="page"/>
                    </v:rect>
                  </w:pict>
                </mc:Fallback>
              </mc:AlternateContent>
            </w:r>
          </w:p>
          <w:p w:rsidR="004953FA" w:rsidRDefault="004953FA">
            <w:pPr>
              <w:ind w:firstLine="720"/>
              <w:jc w:val="right"/>
            </w:pPr>
          </w:p>
        </w:tc>
      </w:tr>
      <w:tr w:rsidR="004953FA">
        <w:trPr>
          <w:trHeight w:val="342"/>
        </w:trPr>
        <w:tc>
          <w:tcPr>
            <w:tcW w:w="2547" w:type="dxa"/>
            <w:tcBorders>
              <w:top w:val="nil"/>
              <w:left w:val="nil"/>
              <w:bottom w:val="nil"/>
              <w:right w:val="nil"/>
            </w:tcBorders>
            <w:shd w:val="clear" w:color="auto" w:fill="auto"/>
          </w:tcPr>
          <w:p w:rsidR="004953FA" w:rsidRDefault="00311245">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rsidR="004953FA" w:rsidRDefault="004953FA">
            <w:pPr>
              <w:rPr>
                <w:sz w:val="16"/>
                <w:szCs w:val="16"/>
              </w:rPr>
            </w:pPr>
          </w:p>
        </w:tc>
        <w:tc>
          <w:tcPr>
            <w:tcW w:w="4671" w:type="dxa"/>
            <w:tcBorders>
              <w:top w:val="nil"/>
              <w:left w:val="nil"/>
              <w:bottom w:val="nil"/>
              <w:right w:val="nil"/>
            </w:tcBorders>
            <w:shd w:val="clear" w:color="auto" w:fill="auto"/>
          </w:tcPr>
          <w:p w:rsidR="004953FA" w:rsidRDefault="004953FA">
            <w:pPr>
              <w:rPr>
                <w:sz w:val="16"/>
                <w:szCs w:val="16"/>
              </w:rPr>
            </w:pPr>
          </w:p>
        </w:tc>
      </w:tr>
      <w:tr w:rsidR="004953FA">
        <w:trPr>
          <w:trHeight w:val="60"/>
        </w:trPr>
        <w:tc>
          <w:tcPr>
            <w:tcW w:w="2547" w:type="dxa"/>
            <w:tcBorders>
              <w:top w:val="nil"/>
              <w:left w:val="nil"/>
              <w:bottom w:val="nil"/>
              <w:right w:val="nil"/>
            </w:tcBorders>
            <w:shd w:val="clear" w:color="auto" w:fill="auto"/>
          </w:tcPr>
          <w:p w:rsidR="004953FA" w:rsidRDefault="00311245">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4953FA" w:rsidRDefault="00311245">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4953FA" w:rsidRDefault="00311245">
            <w:pPr>
              <w:jc w:val="center"/>
            </w:pPr>
            <w:r>
              <w:rPr>
                <w:rFonts w:ascii="Arial" w:hAnsi="Arial" w:cs="Arial"/>
                <w:b/>
                <w:bCs/>
                <w:color w:val="006896"/>
                <w:sz w:val="20"/>
                <w:szCs w:val="20"/>
              </w:rPr>
              <w:t xml:space="preserve">Αθήνα, </w:t>
            </w:r>
            <w:r w:rsidR="00F50692">
              <w:rPr>
                <w:rFonts w:ascii="Arial" w:hAnsi="Arial" w:cs="Arial"/>
                <w:b/>
                <w:bCs/>
                <w:color w:val="006896"/>
                <w:sz w:val="20"/>
                <w:szCs w:val="20"/>
              </w:rPr>
              <w:t>11</w:t>
            </w:r>
            <w:r>
              <w:rPr>
                <w:rFonts w:ascii="Arial" w:hAnsi="Arial" w:cs="Arial"/>
                <w:b/>
                <w:bCs/>
                <w:color w:val="006896"/>
                <w:sz w:val="20"/>
                <w:szCs w:val="20"/>
              </w:rPr>
              <w:t>.0</w:t>
            </w:r>
            <w:r w:rsidR="00F50692">
              <w:rPr>
                <w:rFonts w:ascii="Arial" w:hAnsi="Arial" w:cs="Arial"/>
                <w:b/>
                <w:bCs/>
                <w:color w:val="006896"/>
                <w:sz w:val="20"/>
                <w:szCs w:val="20"/>
              </w:rPr>
              <w:t>2</w:t>
            </w:r>
            <w:r>
              <w:rPr>
                <w:rFonts w:ascii="Arial" w:hAnsi="Arial" w:cs="Arial"/>
                <w:b/>
                <w:bCs/>
                <w:color w:val="006896"/>
                <w:sz w:val="20"/>
                <w:szCs w:val="20"/>
              </w:rPr>
              <w:t>.202</w:t>
            </w:r>
            <w:r w:rsidR="00E6784F">
              <w:rPr>
                <w:rFonts w:ascii="Arial" w:hAnsi="Arial" w:cs="Arial"/>
                <w:b/>
                <w:bCs/>
                <w:color w:val="006896"/>
                <w:sz w:val="20"/>
                <w:szCs w:val="20"/>
              </w:rPr>
              <w:t>5</w:t>
            </w:r>
          </w:p>
        </w:tc>
        <w:tc>
          <w:tcPr>
            <w:tcW w:w="3522" w:type="dxa"/>
            <w:tcBorders>
              <w:top w:val="nil"/>
              <w:left w:val="nil"/>
              <w:bottom w:val="nil"/>
              <w:right w:val="nil"/>
            </w:tcBorders>
            <w:shd w:val="clear" w:color="auto" w:fill="auto"/>
          </w:tcPr>
          <w:p w:rsidR="004953FA" w:rsidRDefault="004953FA">
            <w:pPr>
              <w:rPr>
                <w:sz w:val="16"/>
                <w:szCs w:val="16"/>
              </w:rPr>
            </w:pPr>
          </w:p>
        </w:tc>
        <w:tc>
          <w:tcPr>
            <w:tcW w:w="4671" w:type="dxa"/>
            <w:tcBorders>
              <w:top w:val="nil"/>
              <w:left w:val="nil"/>
              <w:bottom w:val="nil"/>
              <w:right w:val="nil"/>
            </w:tcBorders>
            <w:shd w:val="clear" w:color="auto" w:fill="auto"/>
          </w:tcPr>
          <w:p w:rsidR="004953FA" w:rsidRDefault="004953FA">
            <w:pPr>
              <w:rPr>
                <w:sz w:val="16"/>
                <w:szCs w:val="16"/>
              </w:rPr>
            </w:pPr>
          </w:p>
        </w:tc>
      </w:tr>
      <w:tr w:rsidR="004953FA">
        <w:trPr>
          <w:trHeight w:val="342"/>
        </w:trPr>
        <w:tc>
          <w:tcPr>
            <w:tcW w:w="2547" w:type="dxa"/>
            <w:tcBorders>
              <w:top w:val="nil"/>
              <w:left w:val="nil"/>
              <w:bottom w:val="nil"/>
              <w:right w:val="nil"/>
            </w:tcBorders>
            <w:shd w:val="clear" w:color="auto" w:fill="auto"/>
          </w:tcPr>
          <w:p w:rsidR="004953FA" w:rsidRDefault="004953FA">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rsidR="004953FA" w:rsidRDefault="004953FA">
            <w:pPr>
              <w:rPr>
                <w:sz w:val="16"/>
                <w:szCs w:val="16"/>
              </w:rPr>
            </w:pPr>
          </w:p>
        </w:tc>
        <w:tc>
          <w:tcPr>
            <w:tcW w:w="4671" w:type="dxa"/>
            <w:tcBorders>
              <w:top w:val="nil"/>
              <w:left w:val="nil"/>
              <w:bottom w:val="nil"/>
              <w:right w:val="nil"/>
            </w:tcBorders>
            <w:shd w:val="clear" w:color="auto" w:fill="auto"/>
          </w:tcPr>
          <w:p w:rsidR="004953FA" w:rsidRDefault="004953FA">
            <w:pPr>
              <w:rPr>
                <w:sz w:val="16"/>
                <w:szCs w:val="16"/>
              </w:rPr>
            </w:pPr>
          </w:p>
        </w:tc>
      </w:tr>
    </w:tbl>
    <w:p w:rsidR="003128B4" w:rsidRPr="003128B4" w:rsidRDefault="00F50692" w:rsidP="003128B4">
      <w:pPr>
        <w:jc w:val="center"/>
        <w:rPr>
          <w:rFonts w:ascii="Arial" w:eastAsia="Calibri" w:hAnsi="Arial" w:cs="Arial"/>
          <w:b/>
          <w:sz w:val="22"/>
          <w:szCs w:val="22"/>
          <w:lang w:eastAsia="en-US"/>
        </w:rPr>
      </w:pPr>
      <w:r>
        <w:rPr>
          <w:rFonts w:ascii="Arial" w:eastAsia="Calibri" w:hAnsi="Arial" w:cs="Arial"/>
          <w:b/>
          <w:sz w:val="22"/>
          <w:szCs w:val="22"/>
          <w:lang w:eastAsia="en-US"/>
        </w:rPr>
        <w:t>21-22 Φεβρουαρίου στη Θεσσαλονίκη η 40</w:t>
      </w:r>
      <w:r w:rsidRPr="00F50692">
        <w:rPr>
          <w:rFonts w:ascii="Arial" w:eastAsia="Calibri" w:hAnsi="Arial" w:cs="Arial"/>
          <w:b/>
          <w:sz w:val="22"/>
          <w:szCs w:val="22"/>
          <w:vertAlign w:val="superscript"/>
          <w:lang w:eastAsia="en-US"/>
        </w:rPr>
        <w:t>η</w:t>
      </w:r>
      <w:r>
        <w:rPr>
          <w:rFonts w:ascii="Arial" w:eastAsia="Calibri" w:hAnsi="Arial" w:cs="Arial"/>
          <w:b/>
          <w:sz w:val="22"/>
          <w:szCs w:val="22"/>
          <w:lang w:eastAsia="en-US"/>
        </w:rPr>
        <w:t xml:space="preserve"> εκδήλωση</w:t>
      </w:r>
      <w:r w:rsidR="003128B4" w:rsidRPr="003128B4">
        <w:rPr>
          <w:rFonts w:ascii="Arial" w:eastAsia="Calibri" w:hAnsi="Arial" w:cs="Arial"/>
          <w:b/>
          <w:sz w:val="22"/>
          <w:szCs w:val="22"/>
          <w:lang w:eastAsia="en-US"/>
        </w:rPr>
        <w:t xml:space="preserve"> «Ημέρες Καριέρας» της ΔΥΠΑ με 1</w:t>
      </w:r>
      <w:r>
        <w:rPr>
          <w:rFonts w:ascii="Arial" w:eastAsia="Calibri" w:hAnsi="Arial" w:cs="Arial"/>
          <w:b/>
          <w:sz w:val="22"/>
          <w:szCs w:val="22"/>
          <w:lang w:eastAsia="en-US"/>
        </w:rPr>
        <w:t>6</w:t>
      </w:r>
      <w:r w:rsidR="003128B4" w:rsidRPr="003128B4">
        <w:rPr>
          <w:rFonts w:ascii="Arial" w:eastAsia="Calibri" w:hAnsi="Arial" w:cs="Arial"/>
          <w:b/>
          <w:sz w:val="22"/>
          <w:szCs w:val="22"/>
          <w:lang w:eastAsia="en-US"/>
        </w:rPr>
        <w:t xml:space="preserve">0 επιχειρήσεις και πάνω από </w:t>
      </w:r>
      <w:r>
        <w:rPr>
          <w:rFonts w:ascii="Arial" w:eastAsia="Calibri" w:hAnsi="Arial" w:cs="Arial"/>
          <w:b/>
          <w:sz w:val="22"/>
          <w:szCs w:val="22"/>
          <w:lang w:eastAsia="en-US"/>
        </w:rPr>
        <w:t>5</w:t>
      </w:r>
      <w:r w:rsidR="003128B4" w:rsidRPr="003128B4">
        <w:rPr>
          <w:rFonts w:ascii="Arial" w:eastAsia="Calibri" w:hAnsi="Arial" w:cs="Arial"/>
          <w:b/>
          <w:sz w:val="22"/>
          <w:szCs w:val="22"/>
          <w:lang w:eastAsia="en-US"/>
        </w:rPr>
        <w:t>.000 θέσεις εργασίας</w:t>
      </w:r>
    </w:p>
    <w:p w:rsidR="003128B4" w:rsidRPr="003128B4" w:rsidRDefault="003128B4" w:rsidP="003128B4">
      <w:pPr>
        <w:jc w:val="both"/>
        <w:rPr>
          <w:rFonts w:ascii="Arial" w:eastAsia="Calibri" w:hAnsi="Arial" w:cs="Arial"/>
          <w:sz w:val="22"/>
          <w:szCs w:val="22"/>
          <w:lang w:eastAsia="en-US"/>
        </w:rPr>
      </w:pPr>
    </w:p>
    <w:p w:rsidR="00F50692" w:rsidRDefault="00F50692" w:rsidP="00F50692">
      <w:pPr>
        <w:jc w:val="both"/>
        <w:rPr>
          <w:rFonts w:ascii="Arial" w:eastAsia="Calibri" w:hAnsi="Arial" w:cs="Arial"/>
          <w:sz w:val="22"/>
          <w:szCs w:val="22"/>
          <w:lang w:eastAsia="en-US"/>
        </w:rPr>
      </w:pPr>
      <w:r>
        <w:rPr>
          <w:rFonts w:ascii="Arial" w:eastAsia="Calibri" w:hAnsi="Arial" w:cs="Arial"/>
          <w:sz w:val="22"/>
          <w:szCs w:val="22"/>
          <w:lang w:eastAsia="en-US"/>
        </w:rPr>
        <w:t xml:space="preserve">Οι «Ημέρες Καριέρας» της </w:t>
      </w:r>
      <w:r w:rsidR="003128B4" w:rsidRPr="003128B4">
        <w:rPr>
          <w:rFonts w:ascii="Arial" w:eastAsia="Calibri" w:hAnsi="Arial" w:cs="Arial"/>
          <w:sz w:val="22"/>
          <w:szCs w:val="22"/>
          <w:lang w:eastAsia="en-US"/>
        </w:rPr>
        <w:t>ΔΥΠΑ</w:t>
      </w:r>
      <w:r>
        <w:rPr>
          <w:rFonts w:ascii="Arial" w:eastAsia="Calibri" w:hAnsi="Arial" w:cs="Arial"/>
          <w:sz w:val="22"/>
          <w:szCs w:val="22"/>
          <w:lang w:eastAsia="en-US"/>
        </w:rPr>
        <w:t xml:space="preserve"> επιστρέφουν στην πόλη όπου ξεκίνησαν</w:t>
      </w:r>
      <w:r w:rsidR="00E63F01">
        <w:rPr>
          <w:rFonts w:ascii="Arial" w:eastAsia="Calibri" w:hAnsi="Arial" w:cs="Arial"/>
          <w:sz w:val="22"/>
          <w:szCs w:val="22"/>
          <w:lang w:eastAsia="en-US"/>
        </w:rPr>
        <w:t xml:space="preserve"> τον Σεπτέμβριο του 2021,</w:t>
      </w:r>
      <w:r>
        <w:rPr>
          <w:rFonts w:ascii="Arial" w:eastAsia="Calibri" w:hAnsi="Arial" w:cs="Arial"/>
          <w:sz w:val="22"/>
          <w:szCs w:val="22"/>
          <w:lang w:eastAsia="en-US"/>
        </w:rPr>
        <w:t xml:space="preserve"> </w:t>
      </w:r>
      <w:r w:rsidR="00CF5449">
        <w:rPr>
          <w:rFonts w:ascii="Arial" w:eastAsia="Calibri" w:hAnsi="Arial" w:cs="Arial"/>
          <w:sz w:val="22"/>
          <w:szCs w:val="22"/>
          <w:lang w:eastAsia="en-US"/>
        </w:rPr>
        <w:t>με</w:t>
      </w:r>
      <w:r>
        <w:rPr>
          <w:rFonts w:ascii="Arial" w:eastAsia="Calibri" w:hAnsi="Arial" w:cs="Arial"/>
          <w:sz w:val="22"/>
          <w:szCs w:val="22"/>
          <w:lang w:eastAsia="en-US"/>
        </w:rPr>
        <w:t xml:space="preserve"> την 40</w:t>
      </w:r>
      <w:r w:rsidRPr="00F50692">
        <w:rPr>
          <w:rFonts w:ascii="Arial" w:eastAsia="Calibri" w:hAnsi="Arial" w:cs="Arial"/>
          <w:sz w:val="22"/>
          <w:szCs w:val="22"/>
          <w:vertAlign w:val="superscript"/>
          <w:lang w:eastAsia="en-US"/>
        </w:rPr>
        <w:t>η</w:t>
      </w:r>
      <w:r>
        <w:rPr>
          <w:rFonts w:ascii="Arial" w:eastAsia="Calibri" w:hAnsi="Arial" w:cs="Arial"/>
          <w:sz w:val="22"/>
          <w:szCs w:val="22"/>
          <w:lang w:eastAsia="en-US"/>
        </w:rPr>
        <w:t xml:space="preserve"> διοργάνωση</w:t>
      </w:r>
      <w:r w:rsidR="00E63F01">
        <w:rPr>
          <w:rFonts w:ascii="Arial" w:eastAsia="Calibri" w:hAnsi="Arial" w:cs="Arial"/>
          <w:sz w:val="22"/>
          <w:szCs w:val="22"/>
          <w:lang w:eastAsia="en-US"/>
        </w:rPr>
        <w:t xml:space="preserve"> </w:t>
      </w:r>
      <w:r>
        <w:rPr>
          <w:rFonts w:ascii="Arial" w:eastAsia="Calibri" w:hAnsi="Arial" w:cs="Arial"/>
          <w:sz w:val="22"/>
          <w:szCs w:val="22"/>
          <w:lang w:eastAsia="en-US"/>
        </w:rPr>
        <w:t>την Παρασκευή 2</w:t>
      </w:r>
      <w:r w:rsidR="00CF5449">
        <w:rPr>
          <w:rFonts w:ascii="Arial" w:eastAsia="Calibri" w:hAnsi="Arial" w:cs="Arial"/>
          <w:sz w:val="22"/>
          <w:szCs w:val="22"/>
          <w:lang w:eastAsia="en-US"/>
        </w:rPr>
        <w:t>1</w:t>
      </w:r>
      <w:r>
        <w:rPr>
          <w:rFonts w:ascii="Arial" w:eastAsia="Calibri" w:hAnsi="Arial" w:cs="Arial"/>
          <w:sz w:val="22"/>
          <w:szCs w:val="22"/>
          <w:lang w:eastAsia="en-US"/>
        </w:rPr>
        <w:t xml:space="preserve"> και το Σάββατο 22 Φεβρουαρίου</w:t>
      </w:r>
      <w:r w:rsidR="00E63F01">
        <w:rPr>
          <w:rFonts w:ascii="Arial" w:eastAsia="Calibri" w:hAnsi="Arial" w:cs="Arial"/>
          <w:sz w:val="22"/>
          <w:szCs w:val="22"/>
          <w:lang w:eastAsia="en-US"/>
        </w:rPr>
        <w:t xml:space="preserve">, </w:t>
      </w:r>
      <w:r w:rsidR="00E63F01" w:rsidRPr="00E63F01">
        <w:rPr>
          <w:rFonts w:ascii="Arial" w:eastAsia="Calibri" w:hAnsi="Arial" w:cs="Arial"/>
          <w:sz w:val="22"/>
          <w:szCs w:val="22"/>
          <w:lang w:eastAsia="en-US"/>
        </w:rPr>
        <w:t xml:space="preserve">στο </w:t>
      </w:r>
      <w:proofErr w:type="spellStart"/>
      <w:r w:rsidR="00E63F01" w:rsidRPr="00E63F01">
        <w:rPr>
          <w:rFonts w:ascii="Arial" w:eastAsia="Calibri" w:hAnsi="Arial" w:cs="Arial"/>
          <w:sz w:val="22"/>
          <w:szCs w:val="22"/>
          <w:lang w:eastAsia="en-US"/>
        </w:rPr>
        <w:t>Βελλίδειο</w:t>
      </w:r>
      <w:proofErr w:type="spellEnd"/>
      <w:r w:rsidR="00E63F01" w:rsidRPr="00E63F01">
        <w:rPr>
          <w:rFonts w:ascii="Arial" w:eastAsia="Calibri" w:hAnsi="Arial" w:cs="Arial"/>
          <w:sz w:val="22"/>
          <w:szCs w:val="22"/>
          <w:lang w:eastAsia="en-US"/>
        </w:rPr>
        <w:t xml:space="preserve"> Συνεδριακό Κέντρο (Λεωφόρου Στρατού 3, 54636), από τις 10:00 έως τις 18:00</w:t>
      </w:r>
      <w:r w:rsidR="009724E9">
        <w:rPr>
          <w:rFonts w:ascii="Arial" w:eastAsia="Calibri" w:hAnsi="Arial" w:cs="Arial"/>
          <w:sz w:val="22"/>
          <w:szCs w:val="22"/>
          <w:lang w:eastAsia="en-US"/>
        </w:rPr>
        <w:t>.</w:t>
      </w:r>
    </w:p>
    <w:p w:rsidR="00F50692" w:rsidRDefault="00F50692" w:rsidP="00F50692">
      <w:pPr>
        <w:jc w:val="both"/>
        <w:rPr>
          <w:rFonts w:ascii="Arial" w:eastAsia="Calibri" w:hAnsi="Arial" w:cs="Arial"/>
          <w:sz w:val="22"/>
          <w:szCs w:val="22"/>
          <w:lang w:eastAsia="en-US"/>
        </w:rPr>
      </w:pPr>
    </w:p>
    <w:p w:rsidR="00F50692" w:rsidRDefault="00F50692" w:rsidP="00F50692">
      <w:pPr>
        <w:jc w:val="both"/>
        <w:rPr>
          <w:rFonts w:ascii="Arial" w:eastAsia="Calibri" w:hAnsi="Arial" w:cs="Arial"/>
          <w:sz w:val="22"/>
          <w:szCs w:val="22"/>
          <w:lang w:eastAsia="en-US"/>
        </w:rPr>
      </w:pPr>
      <w:r>
        <w:rPr>
          <w:rFonts w:ascii="Arial" w:eastAsia="Calibri" w:hAnsi="Arial" w:cs="Arial"/>
          <w:sz w:val="22"/>
          <w:szCs w:val="22"/>
          <w:lang w:eastAsia="en-US"/>
        </w:rPr>
        <w:t xml:space="preserve">Πρόκειται για τη μεγαλύτερη εκδήλωση για την εργασία που διοργανώνεται στη Θεσσαλονίκη, με τη συμμετοχή </w:t>
      </w:r>
      <w:r w:rsidR="0079767D">
        <w:rPr>
          <w:rFonts w:ascii="Arial" w:eastAsia="Calibri" w:hAnsi="Arial" w:cs="Arial"/>
          <w:sz w:val="22"/>
          <w:szCs w:val="22"/>
          <w:lang w:eastAsia="en-US"/>
        </w:rPr>
        <w:t xml:space="preserve">πάνω από </w:t>
      </w:r>
      <w:r>
        <w:rPr>
          <w:rFonts w:ascii="Arial" w:eastAsia="Calibri" w:hAnsi="Arial" w:cs="Arial"/>
          <w:sz w:val="22"/>
          <w:szCs w:val="22"/>
          <w:lang w:eastAsia="en-US"/>
        </w:rPr>
        <w:t xml:space="preserve">160 επιχειρήσεων που αναζητούν υποψήφιους για </w:t>
      </w:r>
      <w:r w:rsidR="0079767D">
        <w:rPr>
          <w:rFonts w:ascii="Arial" w:eastAsia="Calibri" w:hAnsi="Arial" w:cs="Arial"/>
          <w:sz w:val="22"/>
          <w:szCs w:val="22"/>
          <w:lang w:eastAsia="en-US"/>
        </w:rPr>
        <w:t xml:space="preserve">περισσότερες από </w:t>
      </w:r>
      <w:r>
        <w:rPr>
          <w:rFonts w:ascii="Arial" w:eastAsia="Calibri" w:hAnsi="Arial" w:cs="Arial"/>
          <w:sz w:val="22"/>
          <w:szCs w:val="22"/>
          <w:lang w:eastAsia="en-US"/>
        </w:rPr>
        <w:t>5.000 θέσεις εργασίας</w:t>
      </w:r>
      <w:r w:rsidR="00065EFD">
        <w:rPr>
          <w:rFonts w:ascii="Arial" w:eastAsia="Calibri" w:hAnsi="Arial" w:cs="Arial"/>
          <w:sz w:val="22"/>
          <w:szCs w:val="22"/>
          <w:lang w:eastAsia="en-US"/>
        </w:rPr>
        <w:t xml:space="preserve">, </w:t>
      </w:r>
      <w:r w:rsidR="00065EFD" w:rsidRPr="00065EFD">
        <w:rPr>
          <w:rFonts w:ascii="Arial" w:eastAsia="Calibri" w:hAnsi="Arial" w:cs="Arial"/>
          <w:sz w:val="22"/>
          <w:szCs w:val="22"/>
          <w:lang w:eastAsia="en-US"/>
        </w:rPr>
        <w:t>σε</w:t>
      </w:r>
      <w:r w:rsidR="00065EFD">
        <w:rPr>
          <w:rFonts w:ascii="Arial" w:eastAsia="Calibri" w:hAnsi="Arial" w:cs="Arial"/>
          <w:sz w:val="22"/>
          <w:szCs w:val="22"/>
          <w:lang w:eastAsia="en-US"/>
        </w:rPr>
        <w:t xml:space="preserve"> πολλές διαφορετικές</w:t>
      </w:r>
      <w:r w:rsidR="00065EFD" w:rsidRPr="00065EFD">
        <w:rPr>
          <w:rFonts w:ascii="Arial" w:eastAsia="Calibri" w:hAnsi="Arial" w:cs="Arial"/>
          <w:sz w:val="22"/>
          <w:szCs w:val="22"/>
          <w:lang w:eastAsia="en-US"/>
        </w:rPr>
        <w:t xml:space="preserve"> ειδικότητες υψηλής, μεσαίας και χαμηλής εξειδίκευσης.</w:t>
      </w:r>
    </w:p>
    <w:p w:rsidR="00E63F01" w:rsidRDefault="00E63F01" w:rsidP="00F50692">
      <w:pPr>
        <w:jc w:val="both"/>
        <w:rPr>
          <w:rFonts w:ascii="Arial" w:eastAsia="Calibri" w:hAnsi="Arial" w:cs="Arial"/>
          <w:sz w:val="22"/>
          <w:szCs w:val="22"/>
          <w:lang w:eastAsia="en-US"/>
        </w:rPr>
      </w:pPr>
    </w:p>
    <w:p w:rsidR="003128B4" w:rsidRDefault="00E63F01" w:rsidP="00F50692">
      <w:pPr>
        <w:jc w:val="both"/>
        <w:rPr>
          <w:rFonts w:ascii="Arial" w:eastAsia="Calibri" w:hAnsi="Arial" w:cs="Arial"/>
          <w:sz w:val="22"/>
          <w:szCs w:val="22"/>
          <w:lang w:eastAsia="en-US"/>
        </w:rPr>
      </w:pPr>
      <w:r w:rsidRPr="00E63F01">
        <w:rPr>
          <w:rFonts w:ascii="Arial" w:eastAsia="Calibri" w:hAnsi="Arial" w:cs="Arial"/>
          <w:sz w:val="22"/>
          <w:szCs w:val="22"/>
          <w:lang w:eastAsia="en-US"/>
        </w:rPr>
        <w:t>Κατά τη διάρκεια της εκδήλωσης, οι πολίτες που αναζητούν εργασία, καθώς και εργαζόμενοι που ψάχνουν ευκαιρίες για μια νέα επαγγελματική πορεία, θα έχουν τη δυνατότητα να συναντήσουν στελέχη ανθρώπινου δυναμικού επιχειρηματικών ομίλων και εταιρειών, διεκδικώντας θέσεις εργασίας που ταιριάζουν με τις επαγγελματικές τους επιδιώξεις</w:t>
      </w:r>
      <w:r w:rsidR="001C2C43">
        <w:rPr>
          <w:rFonts w:ascii="Arial" w:eastAsia="Calibri" w:hAnsi="Arial" w:cs="Arial"/>
          <w:sz w:val="22"/>
          <w:szCs w:val="22"/>
          <w:lang w:eastAsia="en-US"/>
        </w:rPr>
        <w:t>.</w:t>
      </w:r>
    </w:p>
    <w:p w:rsidR="001C2C43" w:rsidRPr="003128B4" w:rsidRDefault="001C2C43" w:rsidP="00F50692">
      <w:pPr>
        <w:jc w:val="both"/>
        <w:rPr>
          <w:rFonts w:ascii="Arial" w:eastAsia="Calibri" w:hAnsi="Arial" w:cs="Arial"/>
          <w:sz w:val="22"/>
          <w:szCs w:val="22"/>
          <w:lang w:eastAsia="en-US"/>
        </w:rPr>
      </w:pPr>
    </w:p>
    <w:p w:rsidR="003128B4" w:rsidRPr="003128B4" w:rsidRDefault="003128B4" w:rsidP="00F50692">
      <w:pPr>
        <w:jc w:val="both"/>
        <w:rPr>
          <w:rFonts w:ascii="Arial" w:eastAsia="Calibri" w:hAnsi="Arial" w:cs="Arial"/>
          <w:sz w:val="22"/>
          <w:szCs w:val="22"/>
          <w:lang w:eastAsia="en-US"/>
        </w:rPr>
      </w:pPr>
      <w:r w:rsidRPr="003128B4">
        <w:rPr>
          <w:rFonts w:ascii="Arial" w:eastAsia="Calibri" w:hAnsi="Arial" w:cs="Arial"/>
          <w:sz w:val="22"/>
          <w:szCs w:val="22"/>
          <w:lang w:eastAsia="en-US"/>
        </w:rPr>
        <w:t xml:space="preserve">Η είσοδος στην εκδήλωση είναι δωρεάν και η δήλωση συμμετοχής βρίσκεται στη διεύθυνση: </w:t>
      </w:r>
    </w:p>
    <w:p w:rsidR="00F50692" w:rsidRDefault="009032D9" w:rsidP="00F50692">
      <w:pPr>
        <w:jc w:val="both"/>
        <w:rPr>
          <w:rFonts w:ascii="Arial" w:eastAsia="Calibri" w:hAnsi="Arial" w:cs="Arial"/>
          <w:sz w:val="22"/>
          <w:szCs w:val="22"/>
          <w:lang w:eastAsia="en-US"/>
        </w:rPr>
      </w:pPr>
      <w:hyperlink r:id="rId13" w:history="1">
        <w:r w:rsidR="00F50692" w:rsidRPr="00511318">
          <w:rPr>
            <w:rStyle w:val="-0"/>
            <w:rFonts w:ascii="Arial" w:eastAsia="Calibri" w:hAnsi="Arial" w:cs="Arial"/>
            <w:sz w:val="22"/>
            <w:szCs w:val="22"/>
            <w:lang w:eastAsia="en-US"/>
          </w:rPr>
          <w:t>https://www.eventora.com/el/Events/imera-karieras-dypa-thessaloniki-2025</w:t>
        </w:r>
      </w:hyperlink>
    </w:p>
    <w:p w:rsidR="00F50692" w:rsidRPr="003128B4" w:rsidRDefault="00F50692" w:rsidP="00F50692">
      <w:pPr>
        <w:jc w:val="both"/>
        <w:rPr>
          <w:rFonts w:ascii="Arial" w:eastAsia="Calibri" w:hAnsi="Arial" w:cs="Arial"/>
          <w:sz w:val="22"/>
          <w:szCs w:val="22"/>
          <w:lang w:eastAsia="en-US"/>
        </w:rPr>
      </w:pPr>
    </w:p>
    <w:p w:rsidR="00F50692" w:rsidRPr="00F50692" w:rsidRDefault="00F50692" w:rsidP="00F50692">
      <w:pPr>
        <w:pStyle w:val="af4"/>
        <w:jc w:val="both"/>
        <w:rPr>
          <w:rFonts w:ascii="Arial" w:hAnsi="Arial" w:cs="Arial"/>
        </w:rPr>
      </w:pPr>
      <w:r w:rsidRPr="00F50692">
        <w:rPr>
          <w:rFonts w:ascii="Arial" w:hAnsi="Arial" w:cs="Arial"/>
        </w:rPr>
        <w:t>Την Παρασκευή 21</w:t>
      </w:r>
      <w:r w:rsidR="00E63F01">
        <w:rPr>
          <w:rFonts w:ascii="Arial" w:hAnsi="Arial" w:cs="Arial"/>
        </w:rPr>
        <w:t xml:space="preserve"> Φεβρουαρίου</w:t>
      </w:r>
      <w:r w:rsidRPr="00F50692">
        <w:rPr>
          <w:rFonts w:ascii="Arial" w:hAnsi="Arial" w:cs="Arial"/>
        </w:rPr>
        <w:t xml:space="preserve"> θα πραγματοποιηθούν Εργαστήρια Συμβουλευτικής από εξειδικευμένους εργασιακούς συμβούλους της ΔΥΠΑ</w:t>
      </w:r>
      <w:r w:rsidR="00E63F01">
        <w:rPr>
          <w:rFonts w:ascii="Arial" w:hAnsi="Arial" w:cs="Arial"/>
        </w:rPr>
        <w:t>,</w:t>
      </w:r>
      <w:r w:rsidRPr="00F50692">
        <w:rPr>
          <w:rFonts w:ascii="Arial" w:hAnsi="Arial" w:cs="Arial"/>
        </w:rPr>
        <w:t xml:space="preserve"> σε θεματικές που αφορούν στη δημιουργία βιογραφικού, στη σωστή προετοιμασία για συνέντευξη, στα βήματα για μια επιτυχημένη επιχειρηματική ιδέα και στη συμβολή των μέσων κοινωνικής δικτύωσης στην αναζήτηση εργασίας.</w:t>
      </w:r>
    </w:p>
    <w:p w:rsidR="00F50692" w:rsidRPr="00F50692" w:rsidRDefault="00F50692" w:rsidP="00F50692">
      <w:pPr>
        <w:pStyle w:val="af4"/>
        <w:jc w:val="both"/>
        <w:rPr>
          <w:rFonts w:ascii="Arial" w:hAnsi="Arial" w:cs="Arial"/>
        </w:rPr>
      </w:pPr>
    </w:p>
    <w:p w:rsidR="00F50692" w:rsidRPr="003128B4" w:rsidRDefault="00E63F01" w:rsidP="00F50692">
      <w:pPr>
        <w:pStyle w:val="af4"/>
        <w:jc w:val="both"/>
        <w:rPr>
          <w:rFonts w:ascii="Arial" w:hAnsi="Arial" w:cs="Arial"/>
        </w:rPr>
      </w:pPr>
      <w:r>
        <w:rPr>
          <w:rFonts w:ascii="Arial" w:hAnsi="Arial" w:cs="Arial"/>
        </w:rPr>
        <w:t>Τη δεύτερη ημέρα της εκδήλωσης (</w:t>
      </w:r>
      <w:r w:rsidR="004F1753">
        <w:rPr>
          <w:rFonts w:ascii="Arial" w:hAnsi="Arial" w:cs="Arial"/>
        </w:rPr>
        <w:t xml:space="preserve">Σάββατο </w:t>
      </w:r>
      <w:r>
        <w:rPr>
          <w:rFonts w:ascii="Arial" w:hAnsi="Arial" w:cs="Arial"/>
        </w:rPr>
        <w:t>22 Φεβρουαρίου)</w:t>
      </w:r>
      <w:r w:rsidR="00F50692" w:rsidRPr="00F50692">
        <w:rPr>
          <w:rFonts w:ascii="Arial" w:hAnsi="Arial" w:cs="Arial"/>
        </w:rPr>
        <w:t>,</w:t>
      </w:r>
      <w:r>
        <w:rPr>
          <w:rFonts w:ascii="Arial" w:hAnsi="Arial" w:cs="Arial"/>
        </w:rPr>
        <w:t xml:space="preserve"> οι πολίτες θα έχουν τη δυνατότητα να παρακολουθήσουν </w:t>
      </w:r>
      <w:r w:rsidR="00F50692" w:rsidRPr="00F50692">
        <w:rPr>
          <w:rFonts w:ascii="Arial" w:hAnsi="Arial" w:cs="Arial"/>
        </w:rPr>
        <w:t>παρουσίαση με θέμα «Ο ιδανικός υποψήφιος»</w:t>
      </w:r>
      <w:r w:rsidR="0076101F">
        <w:rPr>
          <w:rFonts w:ascii="Arial" w:hAnsi="Arial" w:cs="Arial"/>
        </w:rPr>
        <w:t>,</w:t>
      </w:r>
      <w:r w:rsidR="00F50692" w:rsidRPr="00F50692">
        <w:rPr>
          <w:rFonts w:ascii="Arial" w:hAnsi="Arial" w:cs="Arial"/>
        </w:rPr>
        <w:t xml:space="preserve"> με τη συμμετοχή στελεχών ανθρώπινου δυναμικού (HR) και εκπροσώπων μεγάλων επιχειρήσεων, </w:t>
      </w:r>
      <w:r>
        <w:rPr>
          <w:rFonts w:ascii="Arial" w:hAnsi="Arial" w:cs="Arial"/>
        </w:rPr>
        <w:t>καθώς και να συμμετάσχουν στη συζήτηση που θα</w:t>
      </w:r>
      <w:r w:rsidR="00F50692" w:rsidRPr="00F50692">
        <w:rPr>
          <w:rFonts w:ascii="Arial" w:hAnsi="Arial" w:cs="Arial"/>
        </w:rPr>
        <w:t xml:space="preserve"> ακολουθήσει με το κοινό.</w:t>
      </w:r>
    </w:p>
    <w:p w:rsidR="003128B4" w:rsidRPr="003128B4" w:rsidRDefault="003128B4" w:rsidP="00F50692">
      <w:pPr>
        <w:jc w:val="both"/>
        <w:rPr>
          <w:rFonts w:ascii="Arial" w:eastAsia="Calibri" w:hAnsi="Arial" w:cs="Arial"/>
          <w:sz w:val="22"/>
          <w:szCs w:val="22"/>
          <w:lang w:eastAsia="en-US"/>
        </w:rPr>
      </w:pPr>
    </w:p>
    <w:p w:rsidR="003128B4" w:rsidRPr="003128B4" w:rsidRDefault="003128B4" w:rsidP="00F50692">
      <w:pPr>
        <w:jc w:val="both"/>
        <w:rPr>
          <w:rFonts w:ascii="Arial" w:eastAsia="Calibri" w:hAnsi="Arial" w:cs="Arial"/>
          <w:sz w:val="22"/>
          <w:szCs w:val="22"/>
          <w:lang w:eastAsia="en-US"/>
        </w:rPr>
      </w:pPr>
      <w:r w:rsidRPr="003128B4">
        <w:rPr>
          <w:rFonts w:ascii="Arial" w:eastAsia="Calibri" w:hAnsi="Arial" w:cs="Arial"/>
          <w:sz w:val="22"/>
          <w:szCs w:val="22"/>
          <w:lang w:eastAsia="en-US"/>
        </w:rPr>
        <w:t xml:space="preserve">Για πληροφορίες σχετικά με τις δράσεις της ΔΥΠΑ: </w:t>
      </w:r>
      <w:hyperlink r:id="rId14" w:history="1">
        <w:r w:rsidRPr="007B3309">
          <w:rPr>
            <w:rStyle w:val="-0"/>
            <w:rFonts w:ascii="Arial" w:eastAsia="Calibri" w:hAnsi="Arial" w:cs="Arial"/>
            <w:sz w:val="22"/>
            <w:szCs w:val="22"/>
            <w:lang w:eastAsia="en-US"/>
          </w:rPr>
          <w:t>www.dypa.gov.gr</w:t>
        </w:r>
      </w:hyperlink>
    </w:p>
    <w:p w:rsidR="00E63F01" w:rsidRDefault="00E63F01" w:rsidP="00F50692">
      <w:pPr>
        <w:jc w:val="both"/>
        <w:rPr>
          <w:rFonts w:ascii="Arial" w:eastAsia="Calibri" w:hAnsi="Arial" w:cs="Arial"/>
          <w:sz w:val="22"/>
          <w:szCs w:val="22"/>
          <w:lang w:eastAsia="en-US"/>
        </w:rPr>
      </w:pPr>
    </w:p>
    <w:p w:rsidR="003128B4" w:rsidRDefault="003128B4" w:rsidP="00F50692">
      <w:pPr>
        <w:jc w:val="both"/>
        <w:rPr>
          <w:rFonts w:ascii="Arial" w:eastAsia="Calibri" w:hAnsi="Arial" w:cs="Arial"/>
          <w:sz w:val="22"/>
          <w:szCs w:val="22"/>
          <w:lang w:eastAsia="en-US"/>
        </w:rPr>
      </w:pPr>
      <w:r w:rsidRPr="003128B4">
        <w:rPr>
          <w:rFonts w:ascii="Arial" w:eastAsia="Calibri" w:hAnsi="Arial" w:cs="Arial"/>
          <w:sz w:val="22"/>
          <w:szCs w:val="22"/>
          <w:lang w:eastAsia="en-US"/>
        </w:rPr>
        <w:t xml:space="preserve">Για πληροφορίες σχετικά με τη ΜΕΜΜΕ: </w:t>
      </w:r>
      <w:hyperlink r:id="rId15" w:history="1">
        <w:r w:rsidRPr="007B3309">
          <w:rPr>
            <w:rStyle w:val="-0"/>
            <w:rFonts w:ascii="Arial" w:eastAsia="Calibri" w:hAnsi="Arial" w:cs="Arial"/>
            <w:sz w:val="22"/>
            <w:szCs w:val="22"/>
            <w:lang w:eastAsia="en-US"/>
          </w:rPr>
          <w:t>https://www.dypa.gov.gr/memme</w:t>
        </w:r>
      </w:hyperlink>
    </w:p>
    <w:sectPr w:rsidR="003128B4">
      <w:headerReference w:type="default" r:id="rId16"/>
      <w:footerReference w:type="default" r:id="rId17"/>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2D9" w:rsidRDefault="009032D9">
      <w:r>
        <w:separator/>
      </w:r>
    </w:p>
  </w:endnote>
  <w:endnote w:type="continuationSeparator" w:id="0">
    <w:p w:rsidR="009032D9" w:rsidRDefault="0090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3FA" w:rsidRDefault="004953FA">
    <w:pPr>
      <w:pStyle w:val="af0"/>
    </w:pPr>
  </w:p>
  <w:p w:rsidR="004953FA" w:rsidRDefault="00311245">
    <w:pPr>
      <w:pStyle w:val="af0"/>
      <w:tabs>
        <w:tab w:val="clear" w:pos="8306"/>
        <w:tab w:val="left" w:pos="4095"/>
        <w:tab w:val="left" w:pos="4153"/>
      </w:tabs>
      <w:ind w:right="360" w:firstLine="2160"/>
    </w:pPr>
    <w:r>
      <w:rPr>
        <w:noProof/>
      </w:rPr>
      <w:drawing>
        <wp:anchor distT="0" distB="0" distL="114300" distR="114300" simplePos="0" relativeHeight="4" behindDoc="0" locked="0" layoutInCell="1" allowOverlap="1">
          <wp:simplePos x="0" y="0"/>
          <wp:positionH relativeFrom="column">
            <wp:posOffset>1252220</wp:posOffset>
          </wp:positionH>
          <wp:positionV relativeFrom="page">
            <wp:posOffset>9725025</wp:posOffset>
          </wp:positionV>
          <wp:extent cx="2621915" cy="604520"/>
          <wp:effectExtent l="0" t="0" r="0" b="0"/>
          <wp:wrapTight wrapText="bothSides">
            <wp:wrapPolygon edited="0">
              <wp:start x="-62" y="0"/>
              <wp:lineTo x="-62" y="19922"/>
              <wp:lineTo x="21224" y="19922"/>
              <wp:lineTo x="21224" y="0"/>
              <wp:lineTo x="-62" y="0"/>
            </wp:wrapPolygon>
          </wp:wrapTight>
          <wp:docPr id="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8"/>
                  <pic:cNvPicPr>
                    <a:picLocks noChangeAspect="1" noChangeArrowheads="1"/>
                  </pic:cNvPicPr>
                </pic:nvPicPr>
                <pic:blipFill>
                  <a:blip r:embed="rId1"/>
                  <a:stretch>
                    <a:fillRect/>
                  </a:stretch>
                </pic:blipFill>
                <pic:spPr bwMode="auto">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2D9" w:rsidRDefault="009032D9">
      <w:r>
        <w:separator/>
      </w:r>
    </w:p>
  </w:footnote>
  <w:footnote w:type="continuationSeparator" w:id="0">
    <w:p w:rsidR="009032D9" w:rsidRDefault="0090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3FA" w:rsidRDefault="00311245">
    <w:pPr>
      <w:pStyle w:val="af1"/>
    </w:pPr>
    <w:r>
      <w:rPr>
        <w:noProof/>
      </w:rPr>
      <w:drawing>
        <wp:anchor distT="0" distB="0" distL="0" distR="0" simplePos="0" relativeHeight="2" behindDoc="1" locked="0" layoutInCell="1" allowOverlap="1">
          <wp:simplePos x="0" y="0"/>
          <wp:positionH relativeFrom="page">
            <wp:align>left</wp:align>
          </wp:positionH>
          <wp:positionV relativeFrom="paragraph">
            <wp:posOffset>-431800</wp:posOffset>
          </wp:positionV>
          <wp:extent cx="7560310" cy="10692130"/>
          <wp:effectExtent l="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Pr>
        <w:noProof/>
      </w:rPr>
      <w:drawing>
        <wp:anchor distT="0" distB="0" distL="0" distR="0" simplePos="0" relativeHeight="5" behindDoc="1" locked="0" layoutInCell="1" allowOverlap="1">
          <wp:simplePos x="0" y="0"/>
          <wp:positionH relativeFrom="margin">
            <wp:align>center</wp:align>
          </wp:positionH>
          <wp:positionV relativeFrom="page">
            <wp:posOffset>360045</wp:posOffset>
          </wp:positionV>
          <wp:extent cx="1440180" cy="4857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2"/>
                  <a:stretch>
                    <a:fillRect/>
                  </a:stretch>
                </pic:blipFill>
                <pic:spPr bwMode="auto">
                  <a:xfrm>
                    <a:off x="0" y="0"/>
                    <a:ext cx="1440180"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4B"/>
    <w:multiLevelType w:val="hybridMultilevel"/>
    <w:tmpl w:val="E81E4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1F320B"/>
    <w:multiLevelType w:val="hybridMultilevel"/>
    <w:tmpl w:val="0B2613F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2283452F"/>
    <w:multiLevelType w:val="hybridMultilevel"/>
    <w:tmpl w:val="BF86118A"/>
    <w:lvl w:ilvl="0" w:tplc="04080001">
      <w:start w:val="1"/>
      <w:numFmt w:val="bullet"/>
      <w:lvlText w:val=""/>
      <w:lvlJc w:val="left"/>
      <w:pPr>
        <w:ind w:left="77" w:hanging="360"/>
      </w:pPr>
      <w:rPr>
        <w:rFonts w:ascii="Symbol" w:hAnsi="Symbol" w:hint="default"/>
      </w:rPr>
    </w:lvl>
    <w:lvl w:ilvl="1" w:tplc="04080003" w:tentative="1">
      <w:start w:val="1"/>
      <w:numFmt w:val="bullet"/>
      <w:lvlText w:val="o"/>
      <w:lvlJc w:val="left"/>
      <w:pPr>
        <w:ind w:left="797" w:hanging="360"/>
      </w:pPr>
      <w:rPr>
        <w:rFonts w:ascii="Courier New" w:hAnsi="Courier New" w:cs="Courier New" w:hint="default"/>
      </w:rPr>
    </w:lvl>
    <w:lvl w:ilvl="2" w:tplc="04080005" w:tentative="1">
      <w:start w:val="1"/>
      <w:numFmt w:val="bullet"/>
      <w:lvlText w:val=""/>
      <w:lvlJc w:val="left"/>
      <w:pPr>
        <w:ind w:left="1517" w:hanging="360"/>
      </w:pPr>
      <w:rPr>
        <w:rFonts w:ascii="Wingdings" w:hAnsi="Wingdings" w:hint="default"/>
      </w:rPr>
    </w:lvl>
    <w:lvl w:ilvl="3" w:tplc="04080001" w:tentative="1">
      <w:start w:val="1"/>
      <w:numFmt w:val="bullet"/>
      <w:lvlText w:val=""/>
      <w:lvlJc w:val="left"/>
      <w:pPr>
        <w:ind w:left="2237" w:hanging="360"/>
      </w:pPr>
      <w:rPr>
        <w:rFonts w:ascii="Symbol" w:hAnsi="Symbol" w:hint="default"/>
      </w:rPr>
    </w:lvl>
    <w:lvl w:ilvl="4" w:tplc="04080003" w:tentative="1">
      <w:start w:val="1"/>
      <w:numFmt w:val="bullet"/>
      <w:lvlText w:val="o"/>
      <w:lvlJc w:val="left"/>
      <w:pPr>
        <w:ind w:left="2957" w:hanging="360"/>
      </w:pPr>
      <w:rPr>
        <w:rFonts w:ascii="Courier New" w:hAnsi="Courier New" w:cs="Courier New" w:hint="default"/>
      </w:rPr>
    </w:lvl>
    <w:lvl w:ilvl="5" w:tplc="04080005" w:tentative="1">
      <w:start w:val="1"/>
      <w:numFmt w:val="bullet"/>
      <w:lvlText w:val=""/>
      <w:lvlJc w:val="left"/>
      <w:pPr>
        <w:ind w:left="3677" w:hanging="360"/>
      </w:pPr>
      <w:rPr>
        <w:rFonts w:ascii="Wingdings" w:hAnsi="Wingdings" w:hint="default"/>
      </w:rPr>
    </w:lvl>
    <w:lvl w:ilvl="6" w:tplc="04080001" w:tentative="1">
      <w:start w:val="1"/>
      <w:numFmt w:val="bullet"/>
      <w:lvlText w:val=""/>
      <w:lvlJc w:val="left"/>
      <w:pPr>
        <w:ind w:left="4397" w:hanging="360"/>
      </w:pPr>
      <w:rPr>
        <w:rFonts w:ascii="Symbol" w:hAnsi="Symbol" w:hint="default"/>
      </w:rPr>
    </w:lvl>
    <w:lvl w:ilvl="7" w:tplc="04080003" w:tentative="1">
      <w:start w:val="1"/>
      <w:numFmt w:val="bullet"/>
      <w:lvlText w:val="o"/>
      <w:lvlJc w:val="left"/>
      <w:pPr>
        <w:ind w:left="5117" w:hanging="360"/>
      </w:pPr>
      <w:rPr>
        <w:rFonts w:ascii="Courier New" w:hAnsi="Courier New" w:cs="Courier New" w:hint="default"/>
      </w:rPr>
    </w:lvl>
    <w:lvl w:ilvl="8" w:tplc="04080005" w:tentative="1">
      <w:start w:val="1"/>
      <w:numFmt w:val="bullet"/>
      <w:lvlText w:val=""/>
      <w:lvlJc w:val="left"/>
      <w:pPr>
        <w:ind w:left="5837" w:hanging="360"/>
      </w:pPr>
      <w:rPr>
        <w:rFonts w:ascii="Wingdings" w:hAnsi="Wingdings" w:hint="default"/>
      </w:rPr>
    </w:lvl>
  </w:abstractNum>
  <w:abstractNum w:abstractNumId="3" w15:restartNumberingAfterBreak="0">
    <w:nsid w:val="36580272"/>
    <w:multiLevelType w:val="hybridMultilevel"/>
    <w:tmpl w:val="09E63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1C3B1F"/>
    <w:multiLevelType w:val="hybridMultilevel"/>
    <w:tmpl w:val="6A248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6A312C"/>
    <w:multiLevelType w:val="hybridMultilevel"/>
    <w:tmpl w:val="58BE0CA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15:restartNumberingAfterBreak="0">
    <w:nsid w:val="4A09067A"/>
    <w:multiLevelType w:val="hybridMultilevel"/>
    <w:tmpl w:val="71F42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2CE7AEB"/>
    <w:multiLevelType w:val="hybridMultilevel"/>
    <w:tmpl w:val="C17EADD4"/>
    <w:lvl w:ilvl="0" w:tplc="04080001">
      <w:start w:val="1"/>
      <w:numFmt w:val="bullet"/>
      <w:lvlText w:val=""/>
      <w:lvlJc w:val="left"/>
      <w:pPr>
        <w:ind w:left="77" w:hanging="360"/>
      </w:pPr>
      <w:rPr>
        <w:rFonts w:ascii="Symbol" w:hAnsi="Symbol" w:hint="default"/>
      </w:rPr>
    </w:lvl>
    <w:lvl w:ilvl="1" w:tplc="04080003" w:tentative="1">
      <w:start w:val="1"/>
      <w:numFmt w:val="bullet"/>
      <w:lvlText w:val="o"/>
      <w:lvlJc w:val="left"/>
      <w:pPr>
        <w:ind w:left="797" w:hanging="360"/>
      </w:pPr>
      <w:rPr>
        <w:rFonts w:ascii="Courier New" w:hAnsi="Courier New" w:cs="Courier New" w:hint="default"/>
      </w:rPr>
    </w:lvl>
    <w:lvl w:ilvl="2" w:tplc="04080005" w:tentative="1">
      <w:start w:val="1"/>
      <w:numFmt w:val="bullet"/>
      <w:lvlText w:val=""/>
      <w:lvlJc w:val="left"/>
      <w:pPr>
        <w:ind w:left="1517" w:hanging="360"/>
      </w:pPr>
      <w:rPr>
        <w:rFonts w:ascii="Wingdings" w:hAnsi="Wingdings" w:hint="default"/>
      </w:rPr>
    </w:lvl>
    <w:lvl w:ilvl="3" w:tplc="04080001" w:tentative="1">
      <w:start w:val="1"/>
      <w:numFmt w:val="bullet"/>
      <w:lvlText w:val=""/>
      <w:lvlJc w:val="left"/>
      <w:pPr>
        <w:ind w:left="2237" w:hanging="360"/>
      </w:pPr>
      <w:rPr>
        <w:rFonts w:ascii="Symbol" w:hAnsi="Symbol" w:hint="default"/>
      </w:rPr>
    </w:lvl>
    <w:lvl w:ilvl="4" w:tplc="04080003" w:tentative="1">
      <w:start w:val="1"/>
      <w:numFmt w:val="bullet"/>
      <w:lvlText w:val="o"/>
      <w:lvlJc w:val="left"/>
      <w:pPr>
        <w:ind w:left="2957" w:hanging="360"/>
      </w:pPr>
      <w:rPr>
        <w:rFonts w:ascii="Courier New" w:hAnsi="Courier New" w:cs="Courier New" w:hint="default"/>
      </w:rPr>
    </w:lvl>
    <w:lvl w:ilvl="5" w:tplc="04080005" w:tentative="1">
      <w:start w:val="1"/>
      <w:numFmt w:val="bullet"/>
      <w:lvlText w:val=""/>
      <w:lvlJc w:val="left"/>
      <w:pPr>
        <w:ind w:left="3677" w:hanging="360"/>
      </w:pPr>
      <w:rPr>
        <w:rFonts w:ascii="Wingdings" w:hAnsi="Wingdings" w:hint="default"/>
      </w:rPr>
    </w:lvl>
    <w:lvl w:ilvl="6" w:tplc="04080001" w:tentative="1">
      <w:start w:val="1"/>
      <w:numFmt w:val="bullet"/>
      <w:lvlText w:val=""/>
      <w:lvlJc w:val="left"/>
      <w:pPr>
        <w:ind w:left="4397" w:hanging="360"/>
      </w:pPr>
      <w:rPr>
        <w:rFonts w:ascii="Symbol" w:hAnsi="Symbol" w:hint="default"/>
      </w:rPr>
    </w:lvl>
    <w:lvl w:ilvl="7" w:tplc="04080003" w:tentative="1">
      <w:start w:val="1"/>
      <w:numFmt w:val="bullet"/>
      <w:lvlText w:val="o"/>
      <w:lvlJc w:val="left"/>
      <w:pPr>
        <w:ind w:left="5117" w:hanging="360"/>
      </w:pPr>
      <w:rPr>
        <w:rFonts w:ascii="Courier New" w:hAnsi="Courier New" w:cs="Courier New" w:hint="default"/>
      </w:rPr>
    </w:lvl>
    <w:lvl w:ilvl="8" w:tplc="04080005" w:tentative="1">
      <w:start w:val="1"/>
      <w:numFmt w:val="bullet"/>
      <w:lvlText w:val=""/>
      <w:lvlJc w:val="left"/>
      <w:pPr>
        <w:ind w:left="5837" w:hanging="360"/>
      </w:pPr>
      <w:rPr>
        <w:rFonts w:ascii="Wingdings" w:hAnsi="Wingdings" w:hint="default"/>
      </w:rPr>
    </w:lvl>
  </w:abstractNum>
  <w:abstractNum w:abstractNumId="8" w15:restartNumberingAfterBreak="0">
    <w:nsid w:val="5A2C0913"/>
    <w:multiLevelType w:val="hybridMultilevel"/>
    <w:tmpl w:val="A9188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AE71F94"/>
    <w:multiLevelType w:val="hybridMultilevel"/>
    <w:tmpl w:val="4A12F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2C372D"/>
    <w:multiLevelType w:val="hybridMultilevel"/>
    <w:tmpl w:val="CB040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231DBB"/>
    <w:multiLevelType w:val="hybridMultilevel"/>
    <w:tmpl w:val="7B0E5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A154D1C"/>
    <w:multiLevelType w:val="hybridMultilevel"/>
    <w:tmpl w:val="E2EE7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4"/>
  </w:num>
  <w:num w:numId="5">
    <w:abstractNumId w:val="3"/>
  </w:num>
  <w:num w:numId="6">
    <w:abstractNumId w:val="6"/>
  </w:num>
  <w:num w:numId="7">
    <w:abstractNumId w:val="8"/>
  </w:num>
  <w:num w:numId="8">
    <w:abstractNumId w:val="12"/>
  </w:num>
  <w:num w:numId="9">
    <w:abstractNumId w:val="7"/>
  </w:num>
  <w:num w:numId="10">
    <w:abstractNumId w:val="2"/>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FA"/>
    <w:rsid w:val="00065EFD"/>
    <w:rsid w:val="000B18D6"/>
    <w:rsid w:val="001177C3"/>
    <w:rsid w:val="00122E4C"/>
    <w:rsid w:val="00156FA8"/>
    <w:rsid w:val="001C2C43"/>
    <w:rsid w:val="001D2E07"/>
    <w:rsid w:val="001D4772"/>
    <w:rsid w:val="00247F75"/>
    <w:rsid w:val="00256D3B"/>
    <w:rsid w:val="00291C40"/>
    <w:rsid w:val="002B3B69"/>
    <w:rsid w:val="00311245"/>
    <w:rsid w:val="003128B4"/>
    <w:rsid w:val="00335957"/>
    <w:rsid w:val="003966A6"/>
    <w:rsid w:val="003A6FD8"/>
    <w:rsid w:val="00423C26"/>
    <w:rsid w:val="004647E1"/>
    <w:rsid w:val="004953FA"/>
    <w:rsid w:val="00496654"/>
    <w:rsid w:val="004A347D"/>
    <w:rsid w:val="004A74DC"/>
    <w:rsid w:val="004F1753"/>
    <w:rsid w:val="005056C0"/>
    <w:rsid w:val="00537EDF"/>
    <w:rsid w:val="005607FC"/>
    <w:rsid w:val="00581868"/>
    <w:rsid w:val="006A4B04"/>
    <w:rsid w:val="006B0045"/>
    <w:rsid w:val="007025B5"/>
    <w:rsid w:val="00702A88"/>
    <w:rsid w:val="00743B66"/>
    <w:rsid w:val="0076101F"/>
    <w:rsid w:val="0079767D"/>
    <w:rsid w:val="007A1A26"/>
    <w:rsid w:val="007E5FDA"/>
    <w:rsid w:val="00853609"/>
    <w:rsid w:val="009032D9"/>
    <w:rsid w:val="00942C97"/>
    <w:rsid w:val="0095037C"/>
    <w:rsid w:val="009724E9"/>
    <w:rsid w:val="009F6CF0"/>
    <w:rsid w:val="00A0007D"/>
    <w:rsid w:val="00A35767"/>
    <w:rsid w:val="00AC1115"/>
    <w:rsid w:val="00AD67E7"/>
    <w:rsid w:val="00B12CCD"/>
    <w:rsid w:val="00B719C7"/>
    <w:rsid w:val="00B960A2"/>
    <w:rsid w:val="00BB14E2"/>
    <w:rsid w:val="00BF2A83"/>
    <w:rsid w:val="00CB7B0A"/>
    <w:rsid w:val="00CD68C0"/>
    <w:rsid w:val="00CF5449"/>
    <w:rsid w:val="00D1447E"/>
    <w:rsid w:val="00D40E53"/>
    <w:rsid w:val="00D54924"/>
    <w:rsid w:val="00D8438A"/>
    <w:rsid w:val="00DB30C1"/>
    <w:rsid w:val="00E36103"/>
    <w:rsid w:val="00E63F01"/>
    <w:rsid w:val="00E6784F"/>
    <w:rsid w:val="00E759A4"/>
    <w:rsid w:val="00E83CB4"/>
    <w:rsid w:val="00E94945"/>
    <w:rsid w:val="00F06882"/>
    <w:rsid w:val="00F070E0"/>
    <w:rsid w:val="00F50692"/>
    <w:rsid w:val="00F8061A"/>
    <w:rsid w:val="00FB7CC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E7694-C723-4A5B-93BE-4218764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10">
    <w:name w:val="Ανεπίλυτη αναφορά1"/>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styleId="a9">
    <w:name w:val="Unresolved Mention"/>
    <w:basedOn w:val="a0"/>
    <w:uiPriority w:val="99"/>
    <w:semiHidden/>
    <w:unhideWhenUsed/>
    <w:qFormat/>
    <w:rsid w:val="005108E7"/>
    <w:rPr>
      <w:color w:val="605E5C"/>
      <w:shd w:val="clear" w:color="auto" w:fill="E1DFDD"/>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ascii="Arial" w:hAnsi="Arial" w:cs="Arial"/>
      <w:color w:val="3333FF"/>
      <w:spacing w:val="2"/>
      <w:sz w:val="22"/>
      <w:szCs w:val="22"/>
      <w:shd w:val="clear" w:color="auto" w:fill="FFFFFF"/>
    </w:rPr>
  </w:style>
  <w:style w:type="character" w:customStyle="1" w:styleId="ListLabel334">
    <w:name w:val="ListLabel 334"/>
    <w:qFormat/>
    <w:rPr>
      <w:rFonts w:ascii="Arial" w:eastAsia="Calibri" w:hAnsi="Arial" w:cs="Arial"/>
      <w:sz w:val="22"/>
      <w:szCs w:val="22"/>
      <w:lang w:eastAsia="en-US"/>
    </w:rPr>
  </w:style>
  <w:style w:type="character" w:customStyle="1" w:styleId="ListLabel335">
    <w:name w:val="ListLabel 335"/>
    <w:qFormat/>
    <w:rPr>
      <w:rFonts w:ascii="Arial" w:hAnsi="Arial" w:cs="Arial"/>
      <w:color w:val="3333FF"/>
      <w:spacing w:val="2"/>
      <w:sz w:val="22"/>
      <w:szCs w:val="22"/>
      <w:shd w:val="clear" w:color="auto" w:fill="FFFFFF"/>
    </w:rPr>
  </w:style>
  <w:style w:type="character" w:customStyle="1" w:styleId="ListLabel336">
    <w:name w:val="ListLabel 336"/>
    <w:qFormat/>
    <w:rPr>
      <w:rFonts w:ascii="Arial" w:eastAsia="Calibri" w:hAnsi="Arial" w:cs="Arial"/>
      <w:sz w:val="22"/>
      <w:szCs w:val="22"/>
      <w:lang w:eastAsia="en-US"/>
    </w:rPr>
  </w:style>
  <w:style w:type="character" w:customStyle="1" w:styleId="ListLabel337">
    <w:name w:val="ListLabel 337"/>
    <w:qFormat/>
    <w:rPr>
      <w:rFonts w:ascii="Arial" w:hAnsi="Arial" w:cs="Arial"/>
      <w:color w:val="3333FF"/>
      <w:spacing w:val="2"/>
      <w:sz w:val="22"/>
      <w:szCs w:val="22"/>
      <w:shd w:val="clear" w:color="auto" w:fill="FFFFFF"/>
    </w:rPr>
  </w:style>
  <w:style w:type="character" w:customStyle="1" w:styleId="ListLabel338">
    <w:name w:val="ListLabel 338"/>
    <w:qFormat/>
    <w:rPr>
      <w:rFonts w:ascii="Arial" w:eastAsia="Calibri" w:hAnsi="Arial" w:cs="Arial"/>
      <w:sz w:val="22"/>
      <w:szCs w:val="22"/>
      <w:lang w:eastAsia="en-US"/>
    </w:rPr>
  </w:style>
  <w:style w:type="character" w:customStyle="1" w:styleId="ListLabel339">
    <w:name w:val="ListLabel 339"/>
    <w:qFormat/>
    <w:rPr>
      <w:rFonts w:ascii="Arial" w:eastAsia="Calibri" w:hAnsi="Arial" w:cs="Arial"/>
      <w:sz w:val="22"/>
      <w:szCs w:val="22"/>
      <w:lang w:eastAsia="en-US"/>
    </w:rPr>
  </w:style>
  <w:style w:type="character" w:customStyle="1" w:styleId="ListLabel340">
    <w:name w:val="ListLabel 340"/>
    <w:qFormat/>
    <w:rPr>
      <w:rFonts w:ascii="Arial" w:eastAsia="Calibri" w:hAnsi="Arial" w:cs="Arial"/>
      <w:sz w:val="22"/>
      <w:szCs w:val="22"/>
      <w:lang w:eastAsia="en-US"/>
    </w:rPr>
  </w:style>
  <w:style w:type="paragraph" w:customStyle="1" w:styleId="aa">
    <w:name w:val="Επικεφαλίδα"/>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line="280" w:lineRule="atLeast"/>
      <w:jc w:val="both"/>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f0">
    <w:name w:val="footer"/>
    <w:basedOn w:val="a"/>
    <w:pPr>
      <w:tabs>
        <w:tab w:val="center" w:pos="4153"/>
        <w:tab w:val="right" w:pos="8306"/>
      </w:tabs>
    </w:pPr>
  </w:style>
  <w:style w:type="paragraph" w:styleId="af1">
    <w:name w:val="header"/>
    <w:basedOn w:val="a"/>
    <w:pPr>
      <w:tabs>
        <w:tab w:val="center" w:pos="4153"/>
        <w:tab w:val="right" w:pos="8306"/>
      </w:tabs>
    </w:pPr>
  </w:style>
  <w:style w:type="paragraph" w:styleId="af2">
    <w:name w:val="List Paragraph"/>
    <w:basedOn w:val="a"/>
    <w:qFormat/>
    <w:pPr>
      <w:spacing w:line="300" w:lineRule="auto"/>
      <w:ind w:left="720"/>
      <w:jc w:val="both"/>
    </w:pPr>
    <w:rPr>
      <w:rFonts w:ascii="Arial" w:hAnsi="Arial"/>
      <w:sz w:val="22"/>
      <w:szCs w:val="20"/>
      <w:lang w:eastAsia="en-US"/>
    </w:rPr>
  </w:style>
  <w:style w:type="paragraph" w:styleId="af3">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5">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Web3">
    <w:name w:val="Κανονικό (Web)3"/>
    <w:basedOn w:val="a"/>
    <w:qFormat/>
    <w:rsid w:val="00720830"/>
    <w:pPr>
      <w:suppressAutoHyphens/>
      <w:spacing w:before="280" w:after="280"/>
    </w:pPr>
    <w:rPr>
      <w:lang w:eastAsia="zh-CN"/>
    </w:rPr>
  </w:style>
  <w:style w:type="paragraph" w:customStyle="1" w:styleId="af6">
    <w:name w:val="Περιεχόμενα πλαισίου"/>
    <w:basedOn w:val="a"/>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rsid w:val="006A4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thessaloniki-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pa.gov.gr/mem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BD9C4-5281-4D7C-8522-AAAE74AB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OAED</cp:lastModifiedBy>
  <cp:revision>2</cp:revision>
  <cp:lastPrinted>2022-05-10T14:41:00Z</cp:lastPrinted>
  <dcterms:created xsi:type="dcterms:W3CDTF">2025-02-11T11:37:00Z</dcterms:created>
  <dcterms:modified xsi:type="dcterms:W3CDTF">2025-02-11T11:37:00Z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ContentTypeId">
    <vt:lpwstr>0x010100F74EF91B5520F8488C72632DB084E5E1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