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7"/>
        <w:gridCol w:w="3522"/>
        <w:gridCol w:w="4671"/>
      </w:tblGrid>
      <w:tr w:rsidR="004953FA">
        <w:trPr>
          <w:trHeight w:val="10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pPr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53FA" w:rsidRDefault="004953FA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2"/>
                <w:szCs w:val="1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026F30E9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41475" cy="31750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8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953FA" w:rsidRDefault="00311245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F30E9" id="Πλαίσιο κειμένου 2" o:spid="_x0000_s1026" style="position:absolute;margin-left:113.6pt;margin-top:12.55pt;width:129.25pt;height: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" fillcolor="#006896" strokecolor="white [3212]" strokeweight=".26mm">
                      <v:textbox>
                        <w:txbxContent>
                          <w:p w:rsidR="004953FA" w:rsidRDefault="00311245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4953FA" w:rsidRDefault="004953FA">
            <w:pPr>
              <w:ind w:firstLine="720"/>
              <w:jc w:val="right"/>
            </w:pPr>
          </w:p>
        </w:tc>
      </w:tr>
      <w:tr w:rsidR="004953FA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</w:tr>
      <w:tr w:rsidR="004953FA">
        <w:trPr>
          <w:trHeight w:val="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311245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4953FA" w:rsidRDefault="00311245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4953FA" w:rsidRDefault="00311245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331B6B" w:rsidRPr="00331B6B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14</w:t>
            </w:r>
            <w:r w:rsidRPr="002F4BC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331B6B" w:rsidRPr="00C70E2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</w:t>
            </w:r>
            <w:r w:rsidRPr="002F4BC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</w:tr>
      <w:tr w:rsidR="004953FA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3FA" w:rsidRDefault="004953FA">
            <w:pPr>
              <w:rPr>
                <w:sz w:val="16"/>
                <w:szCs w:val="16"/>
              </w:rPr>
            </w:pPr>
          </w:p>
        </w:tc>
      </w:tr>
    </w:tbl>
    <w:p w:rsidR="00DB46A9" w:rsidRDefault="00331B6B" w:rsidP="000B786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Παρασκευή και Σάββατο οι «Ημέρες Καριέρας» της ΔΥΠΑ </w:t>
      </w:r>
    </w:p>
    <w:p w:rsidR="00DB46A9" w:rsidRDefault="00DB46A9" w:rsidP="000B7867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Η μεγαλύτερη εκδήλωση εύρεσης εργασίας στην Αθήνα</w:t>
      </w:r>
    </w:p>
    <w:p w:rsidR="004953FA" w:rsidRPr="00496654" w:rsidRDefault="004953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1B6B" w:rsidRPr="00331B6B" w:rsidRDefault="00331B6B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Την Παρασκευή και το Σάββατο, 18 </w:t>
      </w:r>
      <w:r w:rsidR="00020F18">
        <w:rPr>
          <w:rFonts w:ascii="Arial" w:eastAsia="Calibri" w:hAnsi="Arial" w:cs="Arial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19 Οκτωβρίου</w:t>
      </w:r>
      <w:r w:rsidR="00020F18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εκπρόσωποι 190 επιχειρήσεων θα βρίσκονται στ</w:t>
      </w:r>
      <w:r w:rsidR="00020F18">
        <w:rPr>
          <w:rFonts w:ascii="Arial" w:eastAsia="Calibri" w:hAnsi="Arial" w:cs="Arial"/>
          <w:sz w:val="22"/>
          <w:szCs w:val="22"/>
          <w:lang w:eastAsia="en-US"/>
        </w:rPr>
        <w:t>ην εκδήλωση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«Ημέρες Καριέρας» που διοργανώνει η </w:t>
      </w:r>
      <w:r w:rsidRPr="00331B6B">
        <w:rPr>
          <w:rFonts w:ascii="Arial" w:eastAsia="Calibri" w:hAnsi="Arial" w:cs="Arial"/>
          <w:sz w:val="22"/>
          <w:szCs w:val="22"/>
          <w:lang w:eastAsia="en-US"/>
        </w:rPr>
        <w:t>Δημόσια Υπηρεσία Απασχόλησης (ΔΥΠΑ)</w:t>
      </w:r>
      <w:r w:rsidR="00920444" w:rsidRPr="009204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0444">
        <w:rPr>
          <w:rFonts w:ascii="Arial" w:eastAsia="Calibri" w:hAnsi="Arial" w:cs="Arial"/>
          <w:sz w:val="22"/>
          <w:szCs w:val="22"/>
          <w:lang w:eastAsia="en-US"/>
        </w:rPr>
        <w:t>στην Αθήνα</w:t>
      </w:r>
      <w:r w:rsidRPr="00331B6B">
        <w:rPr>
          <w:rFonts w:ascii="Arial" w:eastAsia="Calibri" w:hAnsi="Arial" w:cs="Arial"/>
          <w:sz w:val="22"/>
          <w:szCs w:val="22"/>
          <w:lang w:eastAsia="en-US"/>
        </w:rPr>
        <w:t>, αναζητώντας ανθρώπινο δυναμικό για π</w:t>
      </w:r>
      <w:r>
        <w:rPr>
          <w:rFonts w:ascii="Arial" w:eastAsia="Calibri" w:hAnsi="Arial" w:cs="Arial"/>
          <w:sz w:val="22"/>
          <w:szCs w:val="22"/>
          <w:lang w:eastAsia="en-US"/>
        </w:rPr>
        <w:t>ερισσότερες</w:t>
      </w:r>
      <w:r w:rsidRPr="00331B6B">
        <w:rPr>
          <w:rFonts w:ascii="Arial" w:eastAsia="Calibri" w:hAnsi="Arial" w:cs="Arial"/>
          <w:sz w:val="22"/>
          <w:szCs w:val="22"/>
          <w:lang w:eastAsia="en-US"/>
        </w:rPr>
        <w:t xml:space="preserve"> από </w:t>
      </w:r>
      <w:r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331B6B">
        <w:rPr>
          <w:rFonts w:ascii="Arial" w:eastAsia="Calibri" w:hAnsi="Arial" w:cs="Arial"/>
          <w:sz w:val="22"/>
          <w:szCs w:val="22"/>
          <w:lang w:eastAsia="en-US"/>
        </w:rPr>
        <w:t>.000 θέσεις εργασίας.</w:t>
      </w:r>
    </w:p>
    <w:p w:rsidR="00331B6B" w:rsidRPr="00331B6B" w:rsidRDefault="00331B6B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1B6B" w:rsidRDefault="00331B6B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1B6B">
        <w:rPr>
          <w:rFonts w:ascii="Arial" w:eastAsia="Calibri" w:hAnsi="Arial" w:cs="Arial"/>
          <w:sz w:val="22"/>
          <w:szCs w:val="22"/>
          <w:lang w:eastAsia="en-US"/>
        </w:rPr>
        <w:t xml:space="preserve">Η είσοδος στην εκδήλωση, που </w:t>
      </w:r>
      <w:r w:rsidR="00E93CBB">
        <w:rPr>
          <w:rFonts w:ascii="Arial" w:eastAsia="Calibri" w:hAnsi="Arial" w:cs="Arial"/>
          <w:sz w:val="22"/>
          <w:szCs w:val="22"/>
          <w:lang w:eastAsia="en-US"/>
        </w:rPr>
        <w:t>θα πραγματοποιηθεί στο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Εκθεσιακό Κέντρο Περιστερίου (Δωδεκανήσου 106, Περιστέρι 121 34), </w:t>
      </w:r>
      <w:r w:rsidRPr="00214A1B">
        <w:rPr>
          <w:rFonts w:ascii="Arial" w:eastAsia="Calibri" w:hAnsi="Arial" w:cs="Arial"/>
          <w:sz w:val="22"/>
          <w:szCs w:val="22"/>
          <w:lang w:eastAsia="en-US"/>
        </w:rPr>
        <w:t>από τις 10:00 έως τις 18:00</w:t>
      </w:r>
      <w:r w:rsidR="00D23BF5">
        <w:rPr>
          <w:rFonts w:ascii="Arial" w:eastAsia="Calibri" w:hAnsi="Arial" w:cs="Arial"/>
          <w:sz w:val="22"/>
          <w:szCs w:val="22"/>
          <w:lang w:eastAsia="en-US"/>
        </w:rPr>
        <w:t xml:space="preserve">, είναι δωρεάν για όλους και </w:t>
      </w:r>
      <w:r w:rsidRPr="00331B6B">
        <w:rPr>
          <w:rFonts w:ascii="Arial" w:eastAsia="Calibri" w:hAnsi="Arial" w:cs="Arial"/>
          <w:sz w:val="22"/>
          <w:szCs w:val="22"/>
          <w:lang w:eastAsia="en-US"/>
        </w:rPr>
        <w:t xml:space="preserve">η δήλωση ενδιαφέροντος συμμετοχής βρίσκεται στην ηλεκτρονική διεύθυνση: </w:t>
      </w:r>
    </w:p>
    <w:p w:rsidR="00D23BF5" w:rsidRDefault="00D23BF5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BF5" w:rsidRPr="008A3E77" w:rsidRDefault="00C432FA" w:rsidP="0082023F">
      <w:pPr>
        <w:ind w:left="-567" w:right="-567"/>
        <w:jc w:val="both"/>
        <w:rPr>
          <w:rFonts w:ascii="Arial" w:eastAsia="Calibri" w:hAnsi="Arial" w:cs="Arial"/>
          <w:color w:val="0000FF"/>
          <w:sz w:val="22"/>
          <w:szCs w:val="22"/>
          <w:lang w:eastAsia="en-US"/>
        </w:rPr>
      </w:pPr>
      <w:hyperlink r:id="rId13" w:history="1">
        <w:r w:rsidR="00D23BF5" w:rsidRPr="008A3E77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https://www.eventora.com/el/Events/imera-karieras-dypa-Athina-okt2024</w:t>
        </w:r>
      </w:hyperlink>
    </w:p>
    <w:p w:rsidR="00D23BF5" w:rsidRDefault="00D23BF5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3BF5" w:rsidRDefault="00331B6B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1B6B">
        <w:rPr>
          <w:rFonts w:ascii="Arial" w:eastAsia="Calibri" w:hAnsi="Arial" w:cs="Arial"/>
          <w:sz w:val="22"/>
          <w:szCs w:val="22"/>
          <w:lang w:eastAsia="en-US"/>
        </w:rPr>
        <w:t>Οι αναζητούντες εργασία που θα προσέλθουν θα έχουν τη δυνατότητα να συνομιλήσουν απευθείας, χωρίς προκαθορισμένο ραντεβού, με στελέχη επιχειρήσεων που αναζητούν προσωπικό</w:t>
      </w:r>
      <w:r w:rsidR="00D23BF5">
        <w:rPr>
          <w:rFonts w:ascii="Arial" w:eastAsia="Calibri" w:hAnsi="Arial" w:cs="Arial"/>
          <w:sz w:val="22"/>
          <w:szCs w:val="22"/>
          <w:lang w:eastAsia="en-US"/>
        </w:rPr>
        <w:t>, να εντοπίσουν τις πιο περιζήτητες ειδικότητες και να δώσουν το βιογραφικό τους σε όσες από τις επιχειρήσεις τους ενδιαφέρουν.</w:t>
      </w:r>
    </w:p>
    <w:p w:rsidR="00331B6B" w:rsidRPr="00331B6B" w:rsidRDefault="00331B6B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31B6B" w:rsidRDefault="00D23BF5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Οι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 xml:space="preserve"> «Ημέρ</w:t>
      </w:r>
      <w:r>
        <w:rPr>
          <w:rFonts w:ascii="Arial" w:eastAsia="Calibri" w:hAnsi="Arial" w:cs="Arial"/>
          <w:sz w:val="22"/>
          <w:szCs w:val="22"/>
          <w:lang w:eastAsia="en-US"/>
        </w:rPr>
        <w:t>ες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 xml:space="preserve"> Καριέρας» </w:t>
      </w:r>
      <w:r w:rsidR="00E93CBB">
        <w:rPr>
          <w:rFonts w:ascii="Arial" w:eastAsia="Calibri" w:hAnsi="Arial" w:cs="Arial"/>
          <w:sz w:val="22"/>
          <w:szCs w:val="22"/>
          <w:lang w:eastAsia="en-US"/>
        </w:rPr>
        <w:t xml:space="preserve">της Αθήνας 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>δίν</w:t>
      </w:r>
      <w:r>
        <w:rPr>
          <w:rFonts w:ascii="Arial" w:eastAsia="Calibri" w:hAnsi="Arial" w:cs="Arial"/>
          <w:sz w:val="22"/>
          <w:szCs w:val="22"/>
          <w:lang w:eastAsia="en-US"/>
        </w:rPr>
        <w:t>ουν</w:t>
      </w:r>
      <w:r w:rsidR="00E93CBB">
        <w:rPr>
          <w:rFonts w:ascii="Arial" w:eastAsia="Calibri" w:hAnsi="Arial" w:cs="Arial"/>
          <w:sz w:val="22"/>
          <w:szCs w:val="22"/>
          <w:lang w:eastAsia="en-US"/>
        </w:rPr>
        <w:t>, επίσης,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 xml:space="preserve"> τη δυνατότητα σ</w:t>
      </w:r>
      <w:r w:rsidR="00DB46A9">
        <w:rPr>
          <w:rFonts w:ascii="Arial" w:eastAsia="Calibri" w:hAnsi="Arial" w:cs="Arial"/>
          <w:sz w:val="22"/>
          <w:szCs w:val="22"/>
          <w:lang w:eastAsia="en-US"/>
        </w:rPr>
        <w:t>τις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 xml:space="preserve"> εκατοντάδες επιχειρήσεις</w:t>
      </w:r>
      <w:r w:rsidR="00DB46A9">
        <w:rPr>
          <w:rFonts w:ascii="Arial" w:eastAsia="Calibri" w:hAnsi="Arial" w:cs="Arial"/>
          <w:sz w:val="22"/>
          <w:szCs w:val="22"/>
          <w:lang w:eastAsia="en-US"/>
        </w:rPr>
        <w:t xml:space="preserve"> που συμμετέχουν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 xml:space="preserve">, να υλοποιήσουν επιτόπιες αρχικές συνεντεύξεις εργασίας και να συγκεντρώσουν </w:t>
      </w:r>
      <w:r w:rsidR="00E93CBB">
        <w:rPr>
          <w:rFonts w:ascii="Arial" w:eastAsia="Calibri" w:hAnsi="Arial" w:cs="Arial"/>
          <w:sz w:val="22"/>
          <w:szCs w:val="22"/>
          <w:lang w:eastAsia="en-US"/>
        </w:rPr>
        <w:t>σημαντικό αριθμό βιογραφικών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 xml:space="preserve">, ώστε να καλύψουν τις αυξημένες ανάγκες </w:t>
      </w:r>
      <w:r w:rsidR="00E93CBB">
        <w:rPr>
          <w:rFonts w:ascii="Arial" w:eastAsia="Calibri" w:hAnsi="Arial" w:cs="Arial"/>
          <w:sz w:val="22"/>
          <w:szCs w:val="22"/>
          <w:lang w:eastAsia="en-US"/>
        </w:rPr>
        <w:t xml:space="preserve">τους </w:t>
      </w:r>
      <w:r w:rsidR="00331B6B" w:rsidRPr="00331B6B">
        <w:rPr>
          <w:rFonts w:ascii="Arial" w:eastAsia="Calibri" w:hAnsi="Arial" w:cs="Arial"/>
          <w:sz w:val="22"/>
          <w:szCs w:val="22"/>
          <w:lang w:eastAsia="en-US"/>
        </w:rPr>
        <w:t>σε ανθρώπινο δυναμικό.</w:t>
      </w:r>
    </w:p>
    <w:p w:rsidR="00331B6B" w:rsidRDefault="00331B6B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0050" w:rsidRDefault="00EF65B2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Επισημαίνεται ότι</w:t>
      </w:r>
      <w:r w:rsidR="00C70E21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επειδή οι αναζητούντες εργασία θα </w:t>
      </w:r>
      <w:r w:rsidR="001A0050">
        <w:rPr>
          <w:rFonts w:ascii="Arial" w:eastAsia="Calibri" w:hAnsi="Arial" w:cs="Arial"/>
          <w:sz w:val="22"/>
          <w:szCs w:val="22"/>
          <w:lang w:eastAsia="en-US"/>
        </w:rPr>
        <w:t>έχουν τη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δυνατότητα</w:t>
      </w:r>
      <w:r w:rsidR="001A0050">
        <w:rPr>
          <w:rFonts w:ascii="Arial" w:eastAsia="Calibri" w:hAnsi="Arial" w:cs="Arial"/>
          <w:sz w:val="22"/>
          <w:szCs w:val="22"/>
          <w:lang w:eastAsia="en-US"/>
        </w:rPr>
        <w:t xml:space="preserve"> να δώσουν επιτόπου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πολλές </w:t>
      </w:r>
      <w:r w:rsidR="001A0050">
        <w:rPr>
          <w:rFonts w:ascii="Arial" w:eastAsia="Calibri" w:hAnsi="Arial" w:cs="Arial"/>
          <w:sz w:val="22"/>
          <w:szCs w:val="22"/>
          <w:lang w:eastAsia="en-US"/>
        </w:rPr>
        <w:t>συνεντεύξεις εργασίας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1A0050">
        <w:rPr>
          <w:rFonts w:ascii="Arial" w:eastAsia="Calibri" w:hAnsi="Arial" w:cs="Arial"/>
          <w:sz w:val="22"/>
          <w:szCs w:val="22"/>
          <w:lang w:eastAsia="en-US"/>
        </w:rPr>
        <w:t xml:space="preserve"> θα πρέπει να φροντίσουν ώστε να έχουν μαζί τους αρκετά αντίγραφα του βιογραφικού τους σημειώματος.</w:t>
      </w:r>
    </w:p>
    <w:p w:rsidR="002B7446" w:rsidRDefault="002B7446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B7446" w:rsidRPr="002B7446" w:rsidRDefault="002B7446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7446">
        <w:rPr>
          <w:rFonts w:ascii="Arial" w:eastAsia="Calibri" w:hAnsi="Arial" w:cs="Arial"/>
          <w:sz w:val="22"/>
          <w:szCs w:val="22"/>
          <w:lang w:eastAsia="en-US"/>
        </w:rPr>
        <w:t xml:space="preserve">Η λίστα με </w:t>
      </w:r>
      <w:r w:rsidR="001A0050">
        <w:rPr>
          <w:rFonts w:ascii="Arial" w:eastAsia="Calibri" w:hAnsi="Arial" w:cs="Arial"/>
          <w:sz w:val="22"/>
          <w:szCs w:val="22"/>
          <w:lang w:eastAsia="en-US"/>
        </w:rPr>
        <w:t>τις θέσεις εργασίας, τις ειδικότητες και τις</w:t>
      </w:r>
      <w:r w:rsidRPr="002B7446">
        <w:rPr>
          <w:rFonts w:ascii="Arial" w:eastAsia="Calibri" w:hAnsi="Arial" w:cs="Arial"/>
          <w:sz w:val="22"/>
          <w:szCs w:val="22"/>
          <w:lang w:eastAsia="en-US"/>
        </w:rPr>
        <w:t xml:space="preserve"> επιχειρήσεις, βρίσκεται αναρτημένη στον ιστότοπο της ΔΥΠΑ, στην ηλεκτρονική διεύθυνση:</w:t>
      </w:r>
    </w:p>
    <w:p w:rsidR="002B7446" w:rsidRPr="002B7446" w:rsidRDefault="002B7446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3CBB" w:rsidRPr="008A3E77" w:rsidRDefault="00C432FA" w:rsidP="0082023F">
      <w:pPr>
        <w:ind w:left="-567" w:right="-567"/>
        <w:jc w:val="both"/>
        <w:rPr>
          <w:rFonts w:ascii="Arial" w:eastAsia="Calibri" w:hAnsi="Arial" w:cs="Arial"/>
          <w:color w:val="0000FF"/>
          <w:sz w:val="22"/>
          <w:szCs w:val="22"/>
          <w:lang w:eastAsia="en-US"/>
        </w:rPr>
      </w:pPr>
      <w:hyperlink r:id="rId14" w:history="1">
        <w:r w:rsidR="00920444" w:rsidRPr="008A3E77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https://www.dypa.gov.gr/imera-karieras-athina-eidikotites</w:t>
        </w:r>
      </w:hyperlink>
      <w:r w:rsidR="00920444" w:rsidRPr="008A3E77">
        <w:rPr>
          <w:rFonts w:ascii="Arial" w:eastAsia="Calibri" w:hAnsi="Arial" w:cs="Arial"/>
          <w:color w:val="0000FF"/>
          <w:sz w:val="22"/>
          <w:szCs w:val="22"/>
          <w:lang w:eastAsia="en-US"/>
        </w:rPr>
        <w:t>=</w:t>
      </w:r>
    </w:p>
    <w:p w:rsidR="00920444" w:rsidRDefault="00920444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B7446" w:rsidRDefault="002B7446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7446">
        <w:rPr>
          <w:rFonts w:ascii="Arial" w:eastAsia="Calibri" w:hAnsi="Arial" w:cs="Arial"/>
          <w:sz w:val="22"/>
          <w:szCs w:val="22"/>
          <w:lang w:eastAsia="en-US"/>
        </w:rPr>
        <w:t>Καθ’ όλη τη διάρκεια του διημέρου, στελέχη της Μονάδας Εξυπηρέτησης Μεσαίων και Μεγάλων Επιχειρήσεων (ΜΕΜΜΕ) θα παρέχουν πληροφορίες για τις δράσεις και τα προγράμματα της ΔΥΠΑ σε ειδικό χώρο (info corner).</w:t>
      </w:r>
    </w:p>
    <w:p w:rsidR="00D25CE9" w:rsidRDefault="00D25CE9" w:rsidP="0082023F">
      <w:pPr>
        <w:ind w:left="-567"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953FA" w:rsidRPr="00496654" w:rsidRDefault="00A26004" w:rsidP="0082023F">
      <w:pPr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Όλες οι</w:t>
      </w:r>
      <w:r w:rsidR="00311245" w:rsidRPr="00496654">
        <w:rPr>
          <w:rFonts w:ascii="Arial" w:eastAsia="Calibri" w:hAnsi="Arial" w:cs="Arial"/>
          <w:sz w:val="22"/>
          <w:szCs w:val="22"/>
          <w:lang w:eastAsia="en-US"/>
        </w:rPr>
        <w:t xml:space="preserve"> πληροφορίες σχετικά με τις δράσεις της ΔΥΠΑ</w:t>
      </w:r>
      <w:r w:rsidR="006B0045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hyperlink r:id="rId15">
        <w:r w:rsidR="00311245" w:rsidRPr="00496654">
          <w:rPr>
            <w:rStyle w:val="a3"/>
            <w:rFonts w:ascii="Arial" w:eastAsia="Calibri" w:hAnsi="Arial" w:cs="Arial"/>
            <w:sz w:val="22"/>
            <w:szCs w:val="22"/>
            <w:lang w:eastAsia="en-US"/>
          </w:rPr>
          <w:t>www.dypa.gov.gr</w:t>
        </w:r>
      </w:hyperlink>
      <w:r w:rsidR="00311245" w:rsidRPr="004966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4953FA" w:rsidRPr="00496654">
      <w:headerReference w:type="default" r:id="rId16"/>
      <w:footerReference w:type="default" r:id="rId17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FA" w:rsidRDefault="00C432FA">
      <w:r>
        <w:separator/>
      </w:r>
    </w:p>
  </w:endnote>
  <w:endnote w:type="continuationSeparator" w:id="0">
    <w:p w:rsidR="00C432FA" w:rsidRDefault="00C4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3FA" w:rsidRDefault="004953FA">
    <w:pPr>
      <w:pStyle w:val="af0"/>
    </w:pPr>
  </w:p>
  <w:p w:rsidR="004953FA" w:rsidRDefault="00311245">
    <w:pPr>
      <w:pStyle w:val="af0"/>
      <w:tabs>
        <w:tab w:val="clear" w:pos="8306"/>
        <w:tab w:val="left" w:pos="4095"/>
        <w:tab w:val="left" w:pos="4153"/>
      </w:tabs>
      <w:ind w:right="360" w:firstLine="2160"/>
    </w:pPr>
    <w:r>
      <w:rPr>
        <w:noProof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62" y="0"/>
              <wp:lineTo x="-62" y="19922"/>
              <wp:lineTo x="21224" y="19922"/>
              <wp:lineTo x="21224" y="0"/>
              <wp:lineTo x="-62" y="0"/>
            </wp:wrapPolygon>
          </wp:wrapTight>
          <wp:docPr id="7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FA" w:rsidRDefault="00C432FA">
      <w:r>
        <w:separator/>
      </w:r>
    </w:p>
  </w:footnote>
  <w:footnote w:type="continuationSeparator" w:id="0">
    <w:p w:rsidR="00C432FA" w:rsidRDefault="00C4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3FA" w:rsidRDefault="00311245">
    <w:pPr>
      <w:pStyle w:val="af1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80272"/>
    <w:multiLevelType w:val="hybridMultilevel"/>
    <w:tmpl w:val="09E63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3B1F"/>
    <w:multiLevelType w:val="hybridMultilevel"/>
    <w:tmpl w:val="6A248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71F94"/>
    <w:multiLevelType w:val="hybridMultilevel"/>
    <w:tmpl w:val="4A12F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C372D"/>
    <w:multiLevelType w:val="hybridMultilevel"/>
    <w:tmpl w:val="CB0407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31DBB"/>
    <w:multiLevelType w:val="hybridMultilevel"/>
    <w:tmpl w:val="7B0E5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FA"/>
    <w:rsid w:val="00020F18"/>
    <w:rsid w:val="000B7867"/>
    <w:rsid w:val="001177C3"/>
    <w:rsid w:val="00156FA8"/>
    <w:rsid w:val="00160630"/>
    <w:rsid w:val="001A0050"/>
    <w:rsid w:val="001D4772"/>
    <w:rsid w:val="002155A8"/>
    <w:rsid w:val="00263F14"/>
    <w:rsid w:val="002B3B69"/>
    <w:rsid w:val="002B7446"/>
    <w:rsid w:val="002F3801"/>
    <w:rsid w:val="002F4BCD"/>
    <w:rsid w:val="00311245"/>
    <w:rsid w:val="00331B6B"/>
    <w:rsid w:val="00365348"/>
    <w:rsid w:val="003E0B52"/>
    <w:rsid w:val="00423C26"/>
    <w:rsid w:val="004953FA"/>
    <w:rsid w:val="00495CE7"/>
    <w:rsid w:val="00496654"/>
    <w:rsid w:val="004A347D"/>
    <w:rsid w:val="004A74DC"/>
    <w:rsid w:val="004E17B0"/>
    <w:rsid w:val="004E383B"/>
    <w:rsid w:val="005056C0"/>
    <w:rsid w:val="00537EDF"/>
    <w:rsid w:val="005623AC"/>
    <w:rsid w:val="00581868"/>
    <w:rsid w:val="00585A65"/>
    <w:rsid w:val="005A7B44"/>
    <w:rsid w:val="006A4B04"/>
    <w:rsid w:val="006B0045"/>
    <w:rsid w:val="006C2719"/>
    <w:rsid w:val="007025B5"/>
    <w:rsid w:val="00702A88"/>
    <w:rsid w:val="0076352D"/>
    <w:rsid w:val="007A0F86"/>
    <w:rsid w:val="007A1A26"/>
    <w:rsid w:val="007E5FDA"/>
    <w:rsid w:val="0082023F"/>
    <w:rsid w:val="00846B3B"/>
    <w:rsid w:val="008A3E77"/>
    <w:rsid w:val="008B6AB9"/>
    <w:rsid w:val="00920444"/>
    <w:rsid w:val="00935837"/>
    <w:rsid w:val="00963CF2"/>
    <w:rsid w:val="009D69F1"/>
    <w:rsid w:val="00A21A59"/>
    <w:rsid w:val="00A26004"/>
    <w:rsid w:val="00A35767"/>
    <w:rsid w:val="00AC6EF0"/>
    <w:rsid w:val="00B12CCD"/>
    <w:rsid w:val="00B7782D"/>
    <w:rsid w:val="00B960A2"/>
    <w:rsid w:val="00BF2A83"/>
    <w:rsid w:val="00C432FA"/>
    <w:rsid w:val="00C46CD4"/>
    <w:rsid w:val="00C70E21"/>
    <w:rsid w:val="00C85499"/>
    <w:rsid w:val="00CB7B0A"/>
    <w:rsid w:val="00D02985"/>
    <w:rsid w:val="00D12EB2"/>
    <w:rsid w:val="00D23BF5"/>
    <w:rsid w:val="00D25CE9"/>
    <w:rsid w:val="00D40E53"/>
    <w:rsid w:val="00D86B1E"/>
    <w:rsid w:val="00DA322A"/>
    <w:rsid w:val="00DB30C1"/>
    <w:rsid w:val="00DB46A9"/>
    <w:rsid w:val="00E0195F"/>
    <w:rsid w:val="00E35CB7"/>
    <w:rsid w:val="00E36103"/>
    <w:rsid w:val="00E759A4"/>
    <w:rsid w:val="00E93CBB"/>
    <w:rsid w:val="00E94945"/>
    <w:rsid w:val="00E955D0"/>
    <w:rsid w:val="00EA6BC9"/>
    <w:rsid w:val="00EB2540"/>
    <w:rsid w:val="00EF65B2"/>
    <w:rsid w:val="00F06882"/>
    <w:rsid w:val="00F74C15"/>
    <w:rsid w:val="00FA6BD9"/>
    <w:rsid w:val="00F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5E7694-C723-4A5B-93BE-4218764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styleId="a9">
    <w:name w:val="Unresolved Mention"/>
    <w:basedOn w:val="a0"/>
    <w:uiPriority w:val="99"/>
    <w:semiHidden/>
    <w:unhideWhenUsed/>
    <w:qFormat/>
    <w:rsid w:val="005108E7"/>
    <w:rPr>
      <w:color w:val="605E5C"/>
      <w:shd w:val="clear" w:color="auto" w:fill="E1DFDD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4">
    <w:name w:val="ListLabel 334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5">
    <w:name w:val="ListLabel 335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6">
    <w:name w:val="ListLabel 336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7">
    <w:name w:val="ListLabel 337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8">
    <w:name w:val="ListLabel 338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9">
    <w:name w:val="ListLabel 339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40">
    <w:name w:val="ListLabel 340"/>
    <w:qFormat/>
    <w:rPr>
      <w:rFonts w:ascii="Arial" w:eastAsia="Calibri" w:hAnsi="Arial" w:cs="Arial"/>
      <w:sz w:val="22"/>
      <w:szCs w:val="22"/>
      <w:lang w:eastAsia="en-US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rsid w:val="006A4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ora.com/el/Events/imera-karieras-dypa-Athina-okt20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ypa.gov.g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pa.gov.gr/33i-hmera-karieras-dypa-trikala-13-aprilioy-2024?tab=eidikotites-kai-epikheiriseis&amp;tab2=&amp;tab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66CF0-04B8-41A5-AF45-ABFE5739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2</cp:revision>
  <cp:lastPrinted>2022-05-10T14:41:00Z</cp:lastPrinted>
  <dcterms:created xsi:type="dcterms:W3CDTF">2024-10-14T08:21:00Z</dcterms:created>
  <dcterms:modified xsi:type="dcterms:W3CDTF">2024-10-14T08:21:00Z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